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7"/>
        <w:gridCol w:w="2025"/>
        <w:gridCol w:w="5589"/>
      </w:tblGrid>
      <w:tr w:rsidR="00691DB0" w:rsidTr="00691DB0">
        <w:tc>
          <w:tcPr>
            <w:tcW w:w="1957" w:type="dxa"/>
          </w:tcPr>
          <w:p w:rsidR="00691DB0" w:rsidRDefault="00691DB0" w:rsidP="00691DB0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</w:rPr>
            </w:pPr>
            <w:r w:rsidRPr="00822172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86418" cy="1091821"/>
                  <wp:effectExtent l="19050" t="0" r="0" b="0"/>
                  <wp:docPr id="2" name="Рисунок 1" descr="\\FS51.fkp51.local\Home\Zueva_AA\Рабочий стол\Статьи\Инфо по буклетам\ФКП синя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51.fkp51.local\Home\Zueva_AA\Рабочий стол\Статьи\Инфо по буклетам\ФКП синя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43" cy="109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691DB0" w:rsidRDefault="00691DB0" w:rsidP="00691DB0">
            <w:pPr>
              <w:outlineLvl w:val="0"/>
              <w:rPr>
                <w:rFonts w:asciiTheme="majorHAnsi" w:eastAsia="Times New Roman" w:hAnsiTheme="majorHAns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</w:p>
          <w:p w:rsidR="00691DB0" w:rsidRPr="0024009D" w:rsidRDefault="00691DB0" w:rsidP="00691DB0">
            <w:pPr>
              <w:outlineLvl w:val="0"/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 xml:space="preserve">Федеральная </w:t>
            </w:r>
          </w:p>
          <w:p w:rsidR="00691DB0" w:rsidRPr="0024009D" w:rsidRDefault="00691DB0" w:rsidP="00691DB0">
            <w:pPr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кадастровая</w:t>
            </w:r>
          </w:p>
          <w:p w:rsidR="00691DB0" w:rsidRPr="0024009D" w:rsidRDefault="00691DB0" w:rsidP="00691DB0">
            <w:pPr>
              <w:rPr>
                <w:rFonts w:ascii="Cambria" w:hAnsi="Cambria" w:cs="Segoe UI"/>
                <w:color w:val="002060"/>
                <w:sz w:val="28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палата</w:t>
            </w:r>
          </w:p>
          <w:p w:rsidR="00691DB0" w:rsidRDefault="00691DB0" w:rsidP="00691DB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691DB0" w:rsidRDefault="00691DB0" w:rsidP="00691DB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1DB0" w:rsidRDefault="00691DB0" w:rsidP="00691DB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91DB0" w:rsidRDefault="00691DB0" w:rsidP="00691DB0">
            <w:pPr>
              <w:spacing w:after="100" w:afterAutospacing="1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ПРЕСС-РЕЛИЗ</w:t>
            </w:r>
          </w:p>
        </w:tc>
      </w:tr>
    </w:tbl>
    <w:p w:rsidR="00691DB0" w:rsidRPr="003B1586" w:rsidRDefault="00691DB0" w:rsidP="00691DB0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691DB0" w:rsidRDefault="00691DB0" w:rsidP="00691DB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BE3">
        <w:rPr>
          <w:rFonts w:ascii="Times New Roman" w:hAnsi="Times New Roman" w:cs="Times New Roman"/>
          <w:b/>
          <w:sz w:val="26"/>
          <w:szCs w:val="26"/>
        </w:rPr>
        <w:t>КАДАСТРОВАЯ ПАЛАТА ПО МУРМАНСКОЙ ОБЛАСТИ ИНФОРМИРУЕТ</w:t>
      </w:r>
    </w:p>
    <w:p w:rsidR="00052C0C" w:rsidRDefault="00691DB0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93D0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Кадастровая палата оцифровала более половины всех кадастровых дел в стране</w:t>
      </w:r>
      <w:bookmarkEnd w:id="0"/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C9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>5 регионах: 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</w:p>
    <w:p w:rsidR="00393D04" w:rsidRPr="003542F8" w:rsidRDefault="00393D04" w:rsidP="00C91F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>
        <w:rPr>
          <w:rFonts w:ascii="Times New Roman" w:hAnsi="Times New Roman" w:cs="Times New Roman"/>
          <w:i/>
          <w:sz w:val="28"/>
        </w:rPr>
        <w:t>, то есть экстерриториально</w:t>
      </w:r>
      <w:r w:rsidRPr="00AF419D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 xml:space="preserve">Сегодня же житель </w:t>
      </w:r>
      <w:r>
        <w:rPr>
          <w:rFonts w:ascii="Times New Roman" w:hAnsi="Times New Roman" w:cs="Times New Roman"/>
          <w:i/>
          <w:sz w:val="28"/>
        </w:rPr>
        <w:lastRenderedPageBreak/>
        <w:t>Владивостока, получивший в наследство участок в Краснодарском крае, может оформить все необходимые документы</w:t>
      </w:r>
      <w:r w:rsidRPr="00AF419D">
        <w:rPr>
          <w:rFonts w:ascii="Times New Roman" w:hAnsi="Times New Roman" w:cs="Times New Roman"/>
          <w:i/>
          <w:sz w:val="28"/>
        </w:rPr>
        <w:t>, не выезжая за пределы своего региона</w:t>
      </w:r>
      <w:r>
        <w:rPr>
          <w:rFonts w:ascii="Times New Roman" w:hAnsi="Times New Roman" w:cs="Times New Roman"/>
          <w:i/>
          <w:sz w:val="28"/>
        </w:rPr>
        <w:t>,</w:t>
      </w:r>
      <w:r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>
        <w:rPr>
          <w:rFonts w:ascii="Times New Roman" w:hAnsi="Times New Roman" w:cs="Times New Roman"/>
          <w:i/>
          <w:sz w:val="28"/>
        </w:rPr>
        <w:t>дистанционном режиме в обычные сроки: от пяти до 10 рабочих дней в зависимости от вида учетно-регистрационных действий</w:t>
      </w:r>
      <w:r w:rsidRPr="00AF419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говорит </w:t>
      </w:r>
      <w:r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</w:p>
    <w:p w:rsidR="00393D04" w:rsidRDefault="00393D04" w:rsidP="00C9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</w:t>
      </w:r>
      <w:proofErr w:type="spellStart"/>
      <w:r w:rsidRPr="002D5246">
        <w:rPr>
          <w:rFonts w:ascii="Times New Roman" w:hAnsi="Times New Roman" w:cs="Times New Roman"/>
          <w:sz w:val="28"/>
        </w:rPr>
        <w:t>госреестр</w:t>
      </w:r>
      <w:proofErr w:type="spellEnd"/>
      <w:r w:rsidRPr="002D5246">
        <w:rPr>
          <w:rFonts w:ascii="Times New Roman" w:hAnsi="Times New Roman" w:cs="Times New Roman"/>
          <w:sz w:val="28"/>
        </w:rPr>
        <w:t xml:space="preserve"> недвижимости вносятся сведения о</w:t>
      </w:r>
      <w:r>
        <w:rPr>
          <w:rFonts w:ascii="Times New Roman" w:hAnsi="Times New Roman" w:cs="Times New Roman"/>
          <w:sz w:val="28"/>
        </w:rPr>
        <w:t>б объекте</w:t>
      </w:r>
      <w:r w:rsidRPr="002D52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</w:t>
      </w:r>
      <w:r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Default="00393D04" w:rsidP="00C9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>
        <w:rPr>
          <w:rFonts w:ascii="Times New Roman" w:hAnsi="Times New Roman" w:cs="Times New Roman"/>
          <w:sz w:val="28"/>
        </w:rPr>
        <w:t xml:space="preserve">акт обследования, </w:t>
      </w:r>
      <w:r w:rsidRPr="00A5490A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A7008A">
        <w:rPr>
          <w:rFonts w:ascii="Times New Roman" w:hAnsi="Times New Roman" w:cs="Times New Roman"/>
          <w:sz w:val="28"/>
        </w:rPr>
        <w:t xml:space="preserve"> </w:t>
      </w:r>
      <w:r w:rsidRPr="002D5246">
        <w:rPr>
          <w:rFonts w:ascii="Times New Roman" w:hAnsi="Times New Roman" w:cs="Times New Roman"/>
          <w:sz w:val="28"/>
        </w:rPr>
        <w:t xml:space="preserve">Все созданные файлы </w:t>
      </w:r>
      <w:r>
        <w:rPr>
          <w:rFonts w:ascii="Times New Roman" w:hAnsi="Times New Roman" w:cs="Times New Roman"/>
          <w:sz w:val="28"/>
        </w:rPr>
        <w:t>заверяются</w:t>
      </w:r>
      <w:r w:rsidRPr="002D52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личной </w:t>
      </w:r>
      <w:r w:rsidRPr="002D5246">
        <w:rPr>
          <w:rFonts w:ascii="Times New Roman" w:hAnsi="Times New Roman" w:cs="Times New Roman"/>
          <w:sz w:val="28"/>
        </w:rPr>
        <w:t>электронной подписью специалиста архива Кадастровой палаты.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4D1CA0" w:rsidRPr="004D1CA0" w:rsidRDefault="004D1CA0" w:rsidP="00C91FB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CA0">
        <w:rPr>
          <w:rFonts w:ascii="Times New Roman" w:hAnsi="Times New Roman" w:cs="Times New Roman"/>
          <w:sz w:val="28"/>
          <w:szCs w:val="28"/>
        </w:rPr>
        <w:t>Перевод в электронную форму кадастровых дел- это приоритетная государственная задача, целью которой  является автоматизация процессов , связанных с вводом, учетом, хранением и доступом к документам в электронном виде.</w:t>
      </w:r>
    </w:p>
    <w:p w:rsidR="004D1CA0" w:rsidRDefault="004D1CA0" w:rsidP="00C91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CA0">
        <w:rPr>
          <w:rFonts w:ascii="Times New Roman" w:hAnsi="Times New Roman" w:cs="Times New Roman"/>
          <w:sz w:val="28"/>
          <w:szCs w:val="28"/>
        </w:rPr>
        <w:t xml:space="preserve">В Кадастровой палате по Мурманской области проводится  большой объем  работы по переводу кадастровых дел в электронно-цифровую форму. На сегодняшний день оцифровано более 77  тысяч дел, что составляет около </w:t>
      </w:r>
      <w:r w:rsidRPr="004D1CA0">
        <w:rPr>
          <w:rFonts w:ascii="Times New Roman" w:hAnsi="Times New Roman" w:cs="Times New Roman"/>
          <w:sz w:val="28"/>
          <w:szCs w:val="28"/>
        </w:rPr>
        <w:lastRenderedPageBreak/>
        <w:t>80 % от общего количества находящегося на хранении в бумажном виде и образованного в ходе деятельности организации.</w:t>
      </w:r>
    </w:p>
    <w:p w:rsidR="004D1CA0" w:rsidRDefault="004D1CA0" w:rsidP="00C91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CA0">
        <w:rPr>
          <w:rFonts w:ascii="Times New Roman" w:hAnsi="Times New Roman" w:cs="Times New Roman"/>
          <w:sz w:val="28"/>
          <w:szCs w:val="28"/>
        </w:rPr>
        <w:t>Перевод  кадастровых дел в электронный вид позволяет оптимизировать состав  хранимых дел, а также способствует оперативному поиску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A0">
        <w:rPr>
          <w:rFonts w:ascii="Times New Roman" w:hAnsi="Times New Roman" w:cs="Times New Roman"/>
          <w:sz w:val="28"/>
          <w:szCs w:val="28"/>
        </w:rPr>
        <w:t>документов, значительно сокращает сроки предоставления государственных услуг по кадастровому учету и регистрации прав на недвижимое имущество. Это несомненно повышает качество предоставляемых услуг.</w:t>
      </w:r>
    </w:p>
    <w:p w:rsidR="00393D04" w:rsidRPr="004D1CA0" w:rsidRDefault="004D1CA0" w:rsidP="00C91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D04"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="00393D04"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 w:rsidR="00393D04">
        <w:rPr>
          <w:rFonts w:ascii="Times New Roman" w:hAnsi="Times New Roman" w:cs="Times New Roman"/>
          <w:sz w:val="28"/>
        </w:rPr>
        <w:t xml:space="preserve">, а также для </w:t>
      </w:r>
      <w:r w:rsidR="00393D04" w:rsidRPr="002D5246">
        <w:rPr>
          <w:rFonts w:ascii="Times New Roman" w:hAnsi="Times New Roman" w:cs="Times New Roman"/>
          <w:sz w:val="28"/>
        </w:rPr>
        <w:t>урегулировани</w:t>
      </w:r>
      <w:r w:rsidR="00393D04">
        <w:rPr>
          <w:rFonts w:ascii="Times New Roman" w:hAnsi="Times New Roman" w:cs="Times New Roman"/>
          <w:sz w:val="28"/>
        </w:rPr>
        <w:t>я</w:t>
      </w:r>
      <w:r w:rsidR="00393D04" w:rsidRPr="002D5246">
        <w:rPr>
          <w:rFonts w:ascii="Times New Roman" w:hAnsi="Times New Roman" w:cs="Times New Roman"/>
          <w:sz w:val="28"/>
        </w:rPr>
        <w:t xml:space="preserve"> </w:t>
      </w:r>
      <w:r w:rsidR="00393D04">
        <w:rPr>
          <w:rFonts w:ascii="Times New Roman" w:hAnsi="Times New Roman" w:cs="Times New Roman"/>
          <w:sz w:val="28"/>
        </w:rPr>
        <w:t xml:space="preserve">земельных </w:t>
      </w:r>
      <w:r w:rsidR="00393D04" w:rsidRPr="002D5246">
        <w:rPr>
          <w:rFonts w:ascii="Times New Roman" w:hAnsi="Times New Roman" w:cs="Times New Roman"/>
          <w:sz w:val="28"/>
        </w:rPr>
        <w:t>споров. </w:t>
      </w:r>
      <w:r w:rsidR="00393D04">
        <w:rPr>
          <w:rFonts w:ascii="Times New Roman" w:hAnsi="Times New Roman" w:cs="Times New Roman"/>
          <w:sz w:val="28"/>
        </w:rPr>
        <w:t>К примеру, может</w:t>
      </w:r>
      <w:r w:rsidR="00393D04" w:rsidRPr="002D5246">
        <w:rPr>
          <w:rFonts w:ascii="Times New Roman" w:hAnsi="Times New Roman" w:cs="Times New Roman"/>
          <w:sz w:val="28"/>
        </w:rPr>
        <w:t xml:space="preserve"> </w:t>
      </w:r>
      <w:r w:rsidR="00393D04">
        <w:rPr>
          <w:rFonts w:ascii="Times New Roman" w:hAnsi="Times New Roman" w:cs="Times New Roman"/>
          <w:sz w:val="28"/>
        </w:rPr>
        <w:t>п</w:t>
      </w:r>
      <w:r w:rsidR="00393D04"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</w:t>
      </w:r>
      <w:r w:rsidR="00393D04">
        <w:rPr>
          <w:rFonts w:ascii="Times New Roman" w:hAnsi="Times New Roman" w:cs="Times New Roman"/>
          <w:sz w:val="28"/>
        </w:rPr>
        <w:t>участка</w:t>
      </w:r>
      <w:r w:rsidR="00393D04" w:rsidRPr="002D5246">
        <w:rPr>
          <w:rFonts w:ascii="Times New Roman" w:hAnsi="Times New Roman" w:cs="Times New Roman"/>
          <w:sz w:val="28"/>
        </w:rPr>
        <w:t xml:space="preserve"> и изменение назначения здания или помещения.  </w:t>
      </w:r>
      <w:r w:rsidR="00393D04">
        <w:rPr>
          <w:rFonts w:ascii="Times New Roman" w:hAnsi="Times New Roman" w:cs="Times New Roman"/>
          <w:sz w:val="28"/>
        </w:rPr>
        <w:t xml:space="preserve"> </w:t>
      </w:r>
    </w:p>
    <w:p w:rsidR="00393D04" w:rsidRPr="002D5246" w:rsidRDefault="00393D04" w:rsidP="00C9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Запрос </w:t>
      </w:r>
      <w:r w:rsidRPr="002D5246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подать в ближайшем</w:t>
      </w:r>
      <w:r w:rsidRPr="002D5246">
        <w:rPr>
          <w:rFonts w:ascii="Times New Roman" w:hAnsi="Times New Roman" w:cs="Times New Roman"/>
          <w:sz w:val="28"/>
        </w:rPr>
        <w:t xml:space="preserve"> офис</w:t>
      </w:r>
      <w:r>
        <w:rPr>
          <w:rFonts w:ascii="Times New Roman" w:hAnsi="Times New Roman" w:cs="Times New Roman"/>
          <w:sz w:val="28"/>
        </w:rPr>
        <w:t>е</w:t>
      </w:r>
      <w:r w:rsidRPr="002D5246">
        <w:rPr>
          <w:rFonts w:ascii="Times New Roman" w:hAnsi="Times New Roman" w:cs="Times New Roman"/>
          <w:sz w:val="28"/>
        </w:rPr>
        <w:t xml:space="preserve"> МФЦ, </w:t>
      </w:r>
      <w:r>
        <w:rPr>
          <w:rFonts w:ascii="Times New Roman" w:hAnsi="Times New Roman" w:cs="Times New Roman"/>
          <w:sz w:val="28"/>
        </w:rPr>
        <w:t>направить в адрес Кадастровой палаты почтой или воспользоваться электронными сервисами</w:t>
      </w:r>
      <w:r w:rsidRPr="002D5246">
        <w:rPr>
          <w:rFonts w:ascii="Times New Roman" w:hAnsi="Times New Roman" w:cs="Times New Roman"/>
          <w:sz w:val="28"/>
        </w:rPr>
        <w:t xml:space="preserve"> Росреестра. </w:t>
      </w:r>
      <w:r>
        <w:rPr>
          <w:rFonts w:ascii="Times New Roman" w:hAnsi="Times New Roman" w:cs="Times New Roman"/>
          <w:sz w:val="28"/>
        </w:rPr>
        <w:t xml:space="preserve">При этом запросы принимаются </w:t>
      </w:r>
      <w:r w:rsidRPr="002D5246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от правообладателей объектов</w:t>
      </w:r>
      <w:r w:rsidRPr="002D5246">
        <w:rPr>
          <w:rFonts w:ascii="Times New Roman" w:hAnsi="Times New Roman" w:cs="Times New Roman"/>
          <w:sz w:val="28"/>
        </w:rPr>
        <w:t xml:space="preserve"> недвижимости или </w:t>
      </w:r>
      <w:r>
        <w:rPr>
          <w:rFonts w:ascii="Times New Roman" w:hAnsi="Times New Roman" w:cs="Times New Roman"/>
          <w:sz w:val="28"/>
        </w:rPr>
        <w:t xml:space="preserve">их представителей, наделенных соответствующими полномочиями. </w:t>
      </w:r>
      <w:r w:rsidRPr="002D5246">
        <w:rPr>
          <w:rFonts w:ascii="Times New Roman" w:hAnsi="Times New Roman" w:cs="Times New Roman"/>
          <w:sz w:val="28"/>
        </w:rPr>
        <w:t>По одному запросу выдается только один документ.</w:t>
      </w:r>
    </w:p>
    <w:p w:rsidR="00393D04" w:rsidRPr="002D5246" w:rsidRDefault="00393D04" w:rsidP="00C9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Pr="00533B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sectPr w:rsidR="00393D04" w:rsidRPr="002D5246" w:rsidSect="00F5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7B68"/>
    <w:rsid w:val="00393D04"/>
    <w:rsid w:val="003D275B"/>
    <w:rsid w:val="00411585"/>
    <w:rsid w:val="00443C77"/>
    <w:rsid w:val="004D1CA0"/>
    <w:rsid w:val="00641686"/>
    <w:rsid w:val="00680FE4"/>
    <w:rsid w:val="00691DB0"/>
    <w:rsid w:val="007671CE"/>
    <w:rsid w:val="008E109D"/>
    <w:rsid w:val="00904919"/>
    <w:rsid w:val="00957EB9"/>
    <w:rsid w:val="00A77714"/>
    <w:rsid w:val="00AF0590"/>
    <w:rsid w:val="00BB4C3D"/>
    <w:rsid w:val="00C53FC6"/>
    <w:rsid w:val="00C613BF"/>
    <w:rsid w:val="00C91FB1"/>
    <w:rsid w:val="00CD2DA2"/>
    <w:rsid w:val="00DA66D0"/>
    <w:rsid w:val="00E32699"/>
    <w:rsid w:val="00E95F7A"/>
    <w:rsid w:val="00EC4ECA"/>
    <w:rsid w:val="00F37CE2"/>
    <w:rsid w:val="00F56463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91FB1"/>
    <w:pPr>
      <w:ind w:left="720"/>
      <w:contextualSpacing/>
    </w:pPr>
  </w:style>
  <w:style w:type="table" w:styleId="aa">
    <w:name w:val="Table Grid"/>
    <w:basedOn w:val="a1"/>
    <w:uiPriority w:val="39"/>
    <w:rsid w:val="0069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Zueva_AA</cp:lastModifiedBy>
  <cp:revision>4</cp:revision>
  <dcterms:created xsi:type="dcterms:W3CDTF">2019-12-10T05:22:00Z</dcterms:created>
  <dcterms:modified xsi:type="dcterms:W3CDTF">2019-12-11T12:17:00Z</dcterms:modified>
</cp:coreProperties>
</file>