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8" w:rsidRDefault="00B9045C">
      <w:pPr>
        <w:rPr>
          <w:sz w:val="32"/>
          <w:szCs w:val="32"/>
        </w:rPr>
      </w:pPr>
      <w:r>
        <w:t xml:space="preserve">   </w:t>
      </w:r>
      <w:r w:rsidR="00513174">
        <w:t xml:space="preserve">       </w:t>
      </w:r>
      <w:r>
        <w:t xml:space="preserve">           </w:t>
      </w:r>
      <w:r w:rsidR="00513174">
        <w:t xml:space="preserve"> </w:t>
      </w:r>
      <w:r w:rsidR="00513174">
        <w:rPr>
          <w:sz w:val="32"/>
          <w:szCs w:val="32"/>
        </w:rPr>
        <w:t>Раскрытие информации гарантирующим поставщиком</w:t>
      </w:r>
    </w:p>
    <w:p w:rsidR="00DC3CD4" w:rsidRDefault="00DC3CD4" w:rsidP="00DC3CD4">
      <w:pPr>
        <w:autoSpaceDE w:val="0"/>
        <w:autoSpaceDN w:val="0"/>
        <w:adjustRightInd w:val="0"/>
        <w:spacing w:after="0" w:line="240" w:lineRule="auto"/>
        <w:jc w:val="both"/>
        <w:rPr>
          <w:color w:val="000000"/>
          <w:sz w:val="24"/>
          <w:szCs w:val="24"/>
        </w:rPr>
      </w:pPr>
      <w:r w:rsidRPr="008B5DAA">
        <w:rPr>
          <w:color w:val="000000"/>
          <w:sz w:val="24"/>
          <w:szCs w:val="24"/>
        </w:rPr>
        <w:t>В соответствии со «Стандартами раскрытия информации субъектами оптового и розничных</w:t>
      </w:r>
      <w:r>
        <w:rPr>
          <w:color w:val="000000"/>
          <w:sz w:val="24"/>
          <w:szCs w:val="24"/>
        </w:rPr>
        <w:t xml:space="preserve"> </w:t>
      </w:r>
      <w:r w:rsidRPr="008B5DAA">
        <w:rPr>
          <w:color w:val="000000"/>
          <w:sz w:val="24"/>
          <w:szCs w:val="24"/>
        </w:rPr>
        <w:t>рынков электрической энергии», утвержденных Постановлением Правительства Российской</w:t>
      </w:r>
      <w:r>
        <w:rPr>
          <w:color w:val="000000"/>
          <w:sz w:val="24"/>
          <w:szCs w:val="24"/>
        </w:rPr>
        <w:t xml:space="preserve"> </w:t>
      </w:r>
      <w:r w:rsidRPr="008B5DAA">
        <w:rPr>
          <w:color w:val="000000"/>
          <w:sz w:val="24"/>
          <w:szCs w:val="24"/>
        </w:rPr>
        <w:t xml:space="preserve">Федерации № 24 от 21.12.2004 года </w:t>
      </w:r>
      <w:r>
        <w:rPr>
          <w:color w:val="000000"/>
          <w:sz w:val="24"/>
          <w:szCs w:val="24"/>
        </w:rPr>
        <w:t>МУП</w:t>
      </w:r>
      <w:r w:rsidRPr="008B5DAA">
        <w:rPr>
          <w:color w:val="000000"/>
          <w:sz w:val="24"/>
          <w:szCs w:val="24"/>
        </w:rPr>
        <w:t xml:space="preserve"> «</w:t>
      </w:r>
      <w:r>
        <w:rPr>
          <w:color w:val="000000"/>
          <w:sz w:val="24"/>
          <w:szCs w:val="24"/>
        </w:rPr>
        <w:t>Сервис</w:t>
      </w:r>
      <w:r w:rsidRPr="008B5DAA">
        <w:rPr>
          <w:color w:val="000000"/>
          <w:sz w:val="24"/>
          <w:szCs w:val="24"/>
        </w:rPr>
        <w:t>» раскрывает следующую информацию:</w:t>
      </w:r>
    </w:p>
    <w:p w:rsidR="00DC3CD4" w:rsidRPr="008B5DAA" w:rsidRDefault="00DC3CD4" w:rsidP="00DC3CD4">
      <w:pPr>
        <w:autoSpaceDE w:val="0"/>
        <w:autoSpaceDN w:val="0"/>
        <w:adjustRightInd w:val="0"/>
        <w:spacing w:after="0" w:line="240" w:lineRule="auto"/>
        <w:jc w:val="both"/>
        <w:rPr>
          <w:color w:val="000000"/>
          <w:sz w:val="24"/>
          <w:szCs w:val="24"/>
        </w:rPr>
      </w:pPr>
    </w:p>
    <w:p w:rsidR="00DC3CD4" w:rsidRPr="00DA43CA" w:rsidRDefault="00DC3CD4" w:rsidP="00DC3CD4">
      <w:pPr>
        <w:autoSpaceDE w:val="0"/>
        <w:autoSpaceDN w:val="0"/>
        <w:adjustRightInd w:val="0"/>
        <w:spacing w:after="0" w:line="240" w:lineRule="auto"/>
        <w:jc w:val="both"/>
        <w:rPr>
          <w:color w:val="000000"/>
          <w:sz w:val="24"/>
          <w:szCs w:val="24"/>
          <w:u w:val="single"/>
        </w:rPr>
      </w:pPr>
      <w:r w:rsidRPr="00DA43CA">
        <w:rPr>
          <w:color w:val="000000"/>
          <w:sz w:val="24"/>
          <w:szCs w:val="24"/>
          <w:u w:val="single"/>
        </w:rPr>
        <w:t>В СФЕРЕ ОКАЗАНИЯ УСЛУГ ПО</w:t>
      </w:r>
      <w:r>
        <w:rPr>
          <w:color w:val="000000"/>
          <w:sz w:val="24"/>
          <w:szCs w:val="24"/>
          <w:u w:val="single"/>
        </w:rPr>
        <w:t xml:space="preserve"> ПРОИЗВОДСТВУ И</w:t>
      </w:r>
      <w:r w:rsidRPr="00DA43CA">
        <w:rPr>
          <w:color w:val="000000"/>
          <w:sz w:val="24"/>
          <w:szCs w:val="24"/>
          <w:u w:val="single"/>
        </w:rPr>
        <w:t xml:space="preserve"> ПЕРЕДАЧЕ ЭЛЕКТРОЭНЕРГИИ</w:t>
      </w:r>
    </w:p>
    <w:p w:rsidR="00DC3CD4" w:rsidRPr="008B5DAA" w:rsidRDefault="00DC3CD4" w:rsidP="00DC3CD4">
      <w:pPr>
        <w:autoSpaceDE w:val="0"/>
        <w:autoSpaceDN w:val="0"/>
        <w:adjustRightInd w:val="0"/>
        <w:spacing w:after="0" w:line="240" w:lineRule="auto"/>
        <w:jc w:val="both"/>
        <w:rPr>
          <w:color w:val="000000"/>
          <w:sz w:val="24"/>
          <w:szCs w:val="24"/>
        </w:rPr>
      </w:pPr>
    </w:p>
    <w:p w:rsidR="00DC3CD4" w:rsidRPr="008B5DAA" w:rsidRDefault="00DC3CD4" w:rsidP="00DC3CD4">
      <w:pPr>
        <w:autoSpaceDE w:val="0"/>
        <w:autoSpaceDN w:val="0"/>
        <w:adjustRightInd w:val="0"/>
        <w:spacing w:after="0" w:line="240" w:lineRule="auto"/>
        <w:jc w:val="both"/>
        <w:rPr>
          <w:color w:val="000000"/>
          <w:sz w:val="24"/>
          <w:szCs w:val="24"/>
        </w:rPr>
      </w:pPr>
      <w:r w:rsidRPr="008B5DAA">
        <w:rPr>
          <w:color w:val="000000"/>
          <w:sz w:val="24"/>
          <w:szCs w:val="24"/>
        </w:rPr>
        <w:t>Постановление Управления по тарифному регулированию Мурманской области №</w:t>
      </w:r>
      <w:r>
        <w:rPr>
          <w:color w:val="000000"/>
          <w:sz w:val="24"/>
          <w:szCs w:val="24"/>
        </w:rPr>
        <w:t>13</w:t>
      </w:r>
      <w:r w:rsidRPr="008B5DAA">
        <w:rPr>
          <w:color w:val="000000"/>
          <w:sz w:val="24"/>
          <w:szCs w:val="24"/>
        </w:rPr>
        <w:t xml:space="preserve">/1 от </w:t>
      </w:r>
      <w:r>
        <w:rPr>
          <w:color w:val="000000"/>
          <w:sz w:val="24"/>
          <w:szCs w:val="24"/>
        </w:rPr>
        <w:t>25</w:t>
      </w:r>
      <w:r w:rsidRPr="008B5DAA">
        <w:rPr>
          <w:color w:val="000000"/>
          <w:sz w:val="24"/>
          <w:szCs w:val="24"/>
        </w:rPr>
        <w:t>.0</w:t>
      </w:r>
      <w:r>
        <w:rPr>
          <w:color w:val="000000"/>
          <w:sz w:val="24"/>
          <w:szCs w:val="24"/>
        </w:rPr>
        <w:t>3</w:t>
      </w:r>
      <w:r w:rsidRPr="008B5DAA">
        <w:rPr>
          <w:color w:val="000000"/>
          <w:sz w:val="24"/>
          <w:szCs w:val="24"/>
        </w:rPr>
        <w:t>.20</w:t>
      </w:r>
      <w:r>
        <w:rPr>
          <w:color w:val="000000"/>
          <w:sz w:val="24"/>
          <w:szCs w:val="24"/>
        </w:rPr>
        <w:t>11</w:t>
      </w:r>
      <w:r w:rsidRPr="008B5DAA">
        <w:rPr>
          <w:color w:val="000000"/>
          <w:sz w:val="24"/>
          <w:szCs w:val="24"/>
        </w:rPr>
        <w:t xml:space="preserve"> г.</w:t>
      </w:r>
      <w:r>
        <w:rPr>
          <w:color w:val="000000"/>
          <w:sz w:val="24"/>
          <w:szCs w:val="24"/>
        </w:rPr>
        <w:t xml:space="preserve">; №13/2 от 25.03.2011г. </w:t>
      </w:r>
      <w:r w:rsidRPr="008B5DAA">
        <w:rPr>
          <w:color w:val="000000"/>
          <w:sz w:val="24"/>
          <w:szCs w:val="24"/>
        </w:rPr>
        <w:t>(опубликовано в</w:t>
      </w:r>
      <w:r>
        <w:rPr>
          <w:color w:val="000000"/>
          <w:sz w:val="24"/>
          <w:szCs w:val="24"/>
        </w:rPr>
        <w:t xml:space="preserve"> </w:t>
      </w:r>
      <w:r w:rsidRPr="008B5DAA">
        <w:rPr>
          <w:color w:val="000000"/>
          <w:sz w:val="24"/>
          <w:szCs w:val="24"/>
        </w:rPr>
        <w:t xml:space="preserve">газете «Мурманский вестник» № </w:t>
      </w:r>
      <w:r>
        <w:rPr>
          <w:color w:val="000000"/>
          <w:sz w:val="24"/>
          <w:szCs w:val="24"/>
        </w:rPr>
        <w:t>63</w:t>
      </w:r>
      <w:r w:rsidRPr="008B5DAA">
        <w:rPr>
          <w:color w:val="000000"/>
          <w:sz w:val="24"/>
          <w:szCs w:val="24"/>
        </w:rPr>
        <w:t xml:space="preserve"> от </w:t>
      </w:r>
      <w:r>
        <w:rPr>
          <w:color w:val="000000"/>
          <w:sz w:val="24"/>
          <w:szCs w:val="24"/>
        </w:rPr>
        <w:t>13</w:t>
      </w:r>
      <w:r w:rsidRPr="008B5DAA">
        <w:rPr>
          <w:color w:val="000000"/>
          <w:sz w:val="24"/>
          <w:szCs w:val="24"/>
        </w:rPr>
        <w:t>.0</w:t>
      </w:r>
      <w:r>
        <w:rPr>
          <w:color w:val="000000"/>
          <w:sz w:val="24"/>
          <w:szCs w:val="24"/>
        </w:rPr>
        <w:t>4</w:t>
      </w:r>
      <w:r w:rsidRPr="008B5DAA">
        <w:rPr>
          <w:color w:val="000000"/>
          <w:sz w:val="24"/>
          <w:szCs w:val="24"/>
        </w:rPr>
        <w:t>.20</w:t>
      </w:r>
      <w:r>
        <w:rPr>
          <w:color w:val="000000"/>
          <w:sz w:val="24"/>
          <w:szCs w:val="24"/>
        </w:rPr>
        <w:t>11</w:t>
      </w:r>
      <w:r w:rsidRPr="008B5DAA">
        <w:rPr>
          <w:color w:val="000000"/>
          <w:sz w:val="24"/>
          <w:szCs w:val="24"/>
        </w:rPr>
        <w:t>г.).</w:t>
      </w:r>
    </w:p>
    <w:p w:rsidR="00DC3CD4" w:rsidRPr="008B5DAA" w:rsidRDefault="00DC3CD4" w:rsidP="00DC3CD4">
      <w:pPr>
        <w:autoSpaceDE w:val="0"/>
        <w:autoSpaceDN w:val="0"/>
        <w:adjustRightInd w:val="0"/>
        <w:spacing w:after="0" w:line="240" w:lineRule="auto"/>
        <w:jc w:val="both"/>
        <w:rPr>
          <w:color w:val="000000"/>
          <w:sz w:val="24"/>
          <w:szCs w:val="24"/>
        </w:rPr>
      </w:pPr>
      <w:r w:rsidRPr="008B5DAA">
        <w:rPr>
          <w:color w:val="000000"/>
          <w:sz w:val="24"/>
          <w:szCs w:val="24"/>
        </w:rPr>
        <w:t xml:space="preserve">Установлены </w:t>
      </w:r>
      <w:r w:rsidR="00E417B9">
        <w:rPr>
          <w:color w:val="000000"/>
          <w:sz w:val="24"/>
          <w:szCs w:val="24"/>
        </w:rPr>
        <w:t>единые (котловые)</w:t>
      </w:r>
      <w:r w:rsidRPr="008B5DAA">
        <w:rPr>
          <w:color w:val="000000"/>
          <w:sz w:val="24"/>
          <w:szCs w:val="24"/>
        </w:rPr>
        <w:t xml:space="preserve"> тарифы </w:t>
      </w:r>
      <w:r w:rsidR="00E417B9">
        <w:rPr>
          <w:color w:val="000000"/>
          <w:sz w:val="24"/>
          <w:szCs w:val="24"/>
        </w:rPr>
        <w:t xml:space="preserve">на </w:t>
      </w:r>
      <w:r w:rsidRPr="008B5DAA">
        <w:rPr>
          <w:color w:val="000000"/>
          <w:sz w:val="24"/>
          <w:szCs w:val="24"/>
        </w:rPr>
        <w:t>услуги по</w:t>
      </w:r>
      <w:r>
        <w:rPr>
          <w:color w:val="000000"/>
          <w:sz w:val="24"/>
          <w:szCs w:val="24"/>
        </w:rPr>
        <w:t xml:space="preserve"> </w:t>
      </w:r>
      <w:r w:rsidRPr="008B5DAA">
        <w:rPr>
          <w:color w:val="000000"/>
          <w:sz w:val="24"/>
          <w:szCs w:val="24"/>
        </w:rPr>
        <w:t>передаче электрической энергии</w:t>
      </w:r>
      <w:r w:rsidR="00E417B9">
        <w:rPr>
          <w:color w:val="000000"/>
          <w:sz w:val="24"/>
          <w:szCs w:val="24"/>
        </w:rPr>
        <w:t xml:space="preserve"> </w:t>
      </w:r>
      <w:r w:rsidRPr="008B5DAA">
        <w:rPr>
          <w:color w:val="000000"/>
          <w:sz w:val="24"/>
          <w:szCs w:val="24"/>
        </w:rPr>
        <w:t>д</w:t>
      </w:r>
      <w:r w:rsidR="00E417B9">
        <w:rPr>
          <w:color w:val="000000"/>
          <w:sz w:val="24"/>
          <w:szCs w:val="24"/>
        </w:rPr>
        <w:t>ля</w:t>
      </w:r>
      <w:r w:rsidRPr="008B5DAA">
        <w:rPr>
          <w:color w:val="000000"/>
          <w:sz w:val="24"/>
          <w:szCs w:val="24"/>
        </w:rPr>
        <w:t xml:space="preserve"> </w:t>
      </w:r>
      <w:r w:rsidR="00E417B9">
        <w:rPr>
          <w:color w:val="000000"/>
          <w:sz w:val="24"/>
          <w:szCs w:val="24"/>
        </w:rPr>
        <w:t xml:space="preserve"> </w:t>
      </w:r>
      <w:r w:rsidRPr="008B5DAA">
        <w:rPr>
          <w:color w:val="000000"/>
          <w:sz w:val="24"/>
          <w:szCs w:val="24"/>
        </w:rPr>
        <w:t>потребител</w:t>
      </w:r>
      <w:r w:rsidR="00E417B9">
        <w:rPr>
          <w:color w:val="000000"/>
          <w:sz w:val="24"/>
          <w:szCs w:val="24"/>
        </w:rPr>
        <w:t xml:space="preserve">ей сел Кузомень и </w:t>
      </w:r>
      <w:proofErr w:type="spellStart"/>
      <w:r w:rsidR="00E417B9">
        <w:rPr>
          <w:color w:val="000000"/>
          <w:sz w:val="24"/>
          <w:szCs w:val="24"/>
        </w:rPr>
        <w:t>Кашкаранцы</w:t>
      </w:r>
      <w:proofErr w:type="spellEnd"/>
      <w:r w:rsidR="00E417B9">
        <w:rPr>
          <w:color w:val="000000"/>
          <w:sz w:val="24"/>
          <w:szCs w:val="24"/>
        </w:rPr>
        <w:t xml:space="preserve"> Терского района Мурманской области</w:t>
      </w:r>
      <w:r w:rsidRPr="008B5DAA">
        <w:rPr>
          <w:color w:val="000000"/>
          <w:sz w:val="24"/>
          <w:szCs w:val="24"/>
        </w:rPr>
        <w:t>.</w:t>
      </w:r>
    </w:p>
    <w:p w:rsidR="00DC3CD4" w:rsidRDefault="00DC3CD4" w:rsidP="00E417B9">
      <w:pPr>
        <w:autoSpaceDE w:val="0"/>
        <w:autoSpaceDN w:val="0"/>
        <w:adjustRightInd w:val="0"/>
        <w:spacing w:after="0" w:line="240" w:lineRule="auto"/>
        <w:jc w:val="both"/>
        <w:rPr>
          <w:sz w:val="32"/>
          <w:szCs w:val="32"/>
        </w:rPr>
      </w:pPr>
      <w:r w:rsidRPr="008B5DAA">
        <w:rPr>
          <w:color w:val="000000"/>
          <w:sz w:val="24"/>
          <w:szCs w:val="24"/>
        </w:rPr>
        <w:t xml:space="preserve">Тариф действует с </w:t>
      </w:r>
      <w:r w:rsidR="00E417B9">
        <w:rPr>
          <w:color w:val="000000"/>
          <w:sz w:val="24"/>
          <w:szCs w:val="24"/>
        </w:rPr>
        <w:t>0</w:t>
      </w:r>
      <w:r>
        <w:rPr>
          <w:color w:val="000000"/>
          <w:sz w:val="24"/>
          <w:szCs w:val="24"/>
        </w:rPr>
        <w:t>1</w:t>
      </w:r>
      <w:r w:rsidRPr="008B5DAA">
        <w:rPr>
          <w:color w:val="000000"/>
          <w:sz w:val="24"/>
          <w:szCs w:val="24"/>
        </w:rPr>
        <w:t>.0</w:t>
      </w:r>
      <w:r w:rsidR="00E417B9">
        <w:rPr>
          <w:color w:val="000000"/>
          <w:sz w:val="24"/>
          <w:szCs w:val="24"/>
        </w:rPr>
        <w:t>4</w:t>
      </w:r>
      <w:r w:rsidRPr="008B5DAA">
        <w:rPr>
          <w:color w:val="000000"/>
          <w:sz w:val="24"/>
          <w:szCs w:val="24"/>
        </w:rPr>
        <w:t>.20</w:t>
      </w:r>
      <w:r w:rsidR="00E417B9">
        <w:rPr>
          <w:color w:val="000000"/>
          <w:sz w:val="24"/>
          <w:szCs w:val="24"/>
        </w:rPr>
        <w:t>11</w:t>
      </w:r>
      <w:r w:rsidRPr="008B5DAA">
        <w:rPr>
          <w:color w:val="000000"/>
          <w:sz w:val="24"/>
          <w:szCs w:val="24"/>
        </w:rPr>
        <w:t>г.</w:t>
      </w:r>
    </w:p>
    <w:tbl>
      <w:tblPr>
        <w:tblStyle w:val="a3"/>
        <w:tblW w:w="0" w:type="auto"/>
        <w:tblInd w:w="-314" w:type="dxa"/>
        <w:tblLook w:val="04A0"/>
      </w:tblPr>
      <w:tblGrid>
        <w:gridCol w:w="8755"/>
        <w:gridCol w:w="1808"/>
      </w:tblGrid>
      <w:tr w:rsidR="00EC2F3E" w:rsidTr="008E69DE">
        <w:tc>
          <w:tcPr>
            <w:tcW w:w="8755" w:type="dxa"/>
          </w:tcPr>
          <w:p w:rsidR="00EC2F3E" w:rsidRDefault="001974C2"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б) структура и объем затрат на производство и реализацию товаров (работ, услуг);</w:t>
            </w:r>
          </w:p>
        </w:tc>
        <w:tc>
          <w:tcPr>
            <w:tcW w:w="1808" w:type="dxa"/>
          </w:tcPr>
          <w:p w:rsidR="00EC2F3E" w:rsidRPr="00F50EA2" w:rsidRDefault="00444BDF">
            <w:pPr>
              <w:rPr>
                <w:sz w:val="24"/>
                <w:szCs w:val="24"/>
              </w:rPr>
            </w:pPr>
            <w:r>
              <w:rPr>
                <w:sz w:val="24"/>
                <w:szCs w:val="24"/>
              </w:rPr>
              <w:t>Приложение  1</w:t>
            </w:r>
          </w:p>
        </w:tc>
      </w:tr>
      <w:tr w:rsidR="00B24E19" w:rsidTr="008E69DE">
        <w:tc>
          <w:tcPr>
            <w:tcW w:w="8755" w:type="dxa"/>
          </w:tcPr>
          <w:p w:rsidR="00B24E19" w:rsidRDefault="00B24E19" w:rsidP="003029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Факт на 2011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p>
        </w:tc>
        <w:tc>
          <w:tcPr>
            <w:tcW w:w="1808" w:type="dxa"/>
          </w:tcPr>
          <w:p w:rsidR="00B24E19" w:rsidRPr="00F50EA2" w:rsidRDefault="00B24E19">
            <w:pPr>
              <w:rPr>
                <w:sz w:val="24"/>
                <w:szCs w:val="24"/>
              </w:rPr>
            </w:pPr>
            <w:r w:rsidRPr="00F50EA2">
              <w:rPr>
                <w:sz w:val="24"/>
                <w:szCs w:val="24"/>
              </w:rPr>
              <w:t>403,2</w:t>
            </w:r>
          </w:p>
        </w:tc>
      </w:tr>
      <w:tr w:rsidR="00B24E19" w:rsidTr="008E69DE">
        <w:tc>
          <w:tcPr>
            <w:tcW w:w="8755" w:type="dxa"/>
          </w:tcPr>
          <w:p w:rsidR="00B24E19" w:rsidRDefault="00B24E19" w:rsidP="003029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План на 2012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 xml:space="preserve">уб. </w:t>
            </w:r>
          </w:p>
        </w:tc>
        <w:tc>
          <w:tcPr>
            <w:tcW w:w="1808" w:type="dxa"/>
          </w:tcPr>
          <w:p w:rsidR="00B24E19" w:rsidRPr="00F50EA2" w:rsidRDefault="00B24E19">
            <w:pPr>
              <w:rPr>
                <w:sz w:val="24"/>
                <w:szCs w:val="24"/>
              </w:rPr>
            </w:pPr>
            <w:r w:rsidRPr="00F50EA2">
              <w:rPr>
                <w:sz w:val="24"/>
                <w:szCs w:val="24"/>
              </w:rPr>
              <w:t>470,7</w:t>
            </w:r>
          </w:p>
        </w:tc>
      </w:tr>
      <w:tr w:rsidR="00B24E19" w:rsidTr="008E69DE">
        <w:tc>
          <w:tcPr>
            <w:tcW w:w="8755" w:type="dxa"/>
          </w:tcPr>
          <w:p w:rsidR="00B24E19" w:rsidRDefault="00B24E19" w:rsidP="003029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Утверждено УТР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p>
        </w:tc>
        <w:tc>
          <w:tcPr>
            <w:tcW w:w="1808" w:type="dxa"/>
          </w:tcPr>
          <w:p w:rsidR="00B24E19" w:rsidRPr="00F50EA2" w:rsidRDefault="00B24E19">
            <w:pPr>
              <w:rPr>
                <w:sz w:val="24"/>
                <w:szCs w:val="24"/>
              </w:rPr>
            </w:pPr>
            <w:r w:rsidRPr="00F50EA2">
              <w:rPr>
                <w:sz w:val="24"/>
                <w:szCs w:val="24"/>
              </w:rPr>
              <w:t>420,6</w:t>
            </w:r>
          </w:p>
        </w:tc>
      </w:tr>
      <w:tr w:rsidR="00EC2F3E" w:rsidTr="008E69DE">
        <w:tc>
          <w:tcPr>
            <w:tcW w:w="8755" w:type="dxa"/>
          </w:tcPr>
          <w:p w:rsidR="00EC2F3E" w:rsidRDefault="00BE0D38"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sidRPr="00540BFB">
              <w:rPr>
                <w:rFonts w:eastAsia="Times New Roman"/>
                <w:color w:val="333333"/>
                <w:sz w:val="24"/>
                <w:szCs w:val="24"/>
                <w:lang w:eastAsia="ru-RU"/>
              </w:rPr>
              <w:t xml:space="preserve"> естественных монополий;</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Borders>
              <w:bottom w:val="single" w:sz="4" w:space="0" w:color="000000" w:themeColor="text1"/>
            </w:tcBorders>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tc>
        <w:tc>
          <w:tcPr>
            <w:tcW w:w="1808" w:type="dxa"/>
          </w:tcPr>
          <w:p w:rsidR="00EC2F3E" w:rsidRPr="00F50EA2" w:rsidRDefault="00F50EA2">
            <w:pPr>
              <w:rPr>
                <w:sz w:val="24"/>
                <w:szCs w:val="24"/>
              </w:rPr>
            </w:pPr>
            <w:r w:rsidRPr="00F50EA2">
              <w:rPr>
                <w:sz w:val="24"/>
                <w:szCs w:val="24"/>
              </w:rPr>
              <w:t>нет</w:t>
            </w:r>
          </w:p>
        </w:tc>
      </w:tr>
      <w:tr w:rsidR="00EC2F3E" w:rsidTr="008E69DE">
        <w:trPr>
          <w:trHeight w:val="1082"/>
        </w:trPr>
        <w:tc>
          <w:tcPr>
            <w:tcW w:w="8755" w:type="dxa"/>
            <w:tcBorders>
              <w:bottom w:val="single" w:sz="4" w:space="0" w:color="000000" w:themeColor="text1"/>
            </w:tcBorders>
          </w:tcPr>
          <w:p w:rsidR="00EC2F3E" w:rsidRDefault="00A35121" w:rsidP="007151D8">
            <w:pPr>
              <w:shd w:val="clear" w:color="auto" w:fill="FFFFFF"/>
              <w:spacing w:before="120"/>
              <w:jc w:val="both"/>
              <w:rPr>
                <w:sz w:val="32"/>
                <w:szCs w:val="32"/>
              </w:rPr>
            </w:pPr>
            <w:r>
              <w:rPr>
                <w:rFonts w:eastAsia="Times New Roman"/>
                <w:color w:val="333333"/>
                <w:sz w:val="24"/>
                <w:szCs w:val="24"/>
                <w:lang w:eastAsia="ru-RU"/>
              </w:rPr>
              <w:t>11.</w:t>
            </w:r>
            <w:r w:rsidR="007151D8">
              <w:rPr>
                <w:rFonts w:eastAsia="Times New Roman"/>
                <w:color w:val="333333"/>
                <w:sz w:val="24"/>
                <w:szCs w:val="24"/>
                <w:lang w:eastAsia="ru-RU"/>
              </w:rPr>
              <w:t xml:space="preserve"> </w:t>
            </w:r>
            <w:r w:rsidRPr="00540BFB">
              <w:rPr>
                <w:rFonts w:eastAsia="Times New Roman"/>
                <w:color w:val="333333"/>
                <w:sz w:val="24"/>
                <w:szCs w:val="24"/>
                <w:lang w:eastAsia="ru-RU"/>
              </w:rPr>
              <w:t xml:space="preserve">а) </w:t>
            </w:r>
            <w:r w:rsidR="007151D8">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ценах (тарифах) на товары (работы, услуги) субъектов естественных монополий, в отношении которых применяется государственное </w:t>
            </w:r>
            <w:proofErr w:type="gramStart"/>
            <w:r w:rsidRPr="00540BFB">
              <w:rPr>
                <w:rFonts w:eastAsia="Times New Roman"/>
                <w:color w:val="333333"/>
                <w:sz w:val="24"/>
                <w:szCs w:val="24"/>
                <w:lang w:eastAsia="ru-RU"/>
              </w:rPr>
              <w:t>регулирование</w:t>
            </w:r>
            <w:proofErr w:type="gramEnd"/>
            <w:r w:rsidRPr="00540BFB">
              <w:rPr>
                <w:rFonts w:eastAsia="Times New Roman"/>
                <w:color w:val="333333"/>
                <w:sz w:val="24"/>
                <w:szCs w:val="24"/>
                <w:lang w:eastAsia="ru-RU"/>
              </w:rPr>
              <w:t xml:space="preserve">  </w:t>
            </w:r>
            <w:r w:rsidR="007151D8">
              <w:rPr>
                <w:rFonts w:eastAsia="Times New Roman"/>
                <w:color w:val="333333"/>
                <w:sz w:val="24"/>
                <w:szCs w:val="24"/>
                <w:lang w:eastAsia="ru-RU"/>
              </w:rPr>
              <w:t>содержит сведения:</w:t>
            </w:r>
          </w:p>
        </w:tc>
        <w:tc>
          <w:tcPr>
            <w:tcW w:w="1808" w:type="dxa"/>
          </w:tcPr>
          <w:p w:rsidR="00EC2F3E" w:rsidRPr="00F50EA2" w:rsidRDefault="00F50EA2">
            <w:pPr>
              <w:rPr>
                <w:sz w:val="24"/>
                <w:szCs w:val="24"/>
              </w:rPr>
            </w:pPr>
            <w:r w:rsidRPr="00F50EA2">
              <w:rPr>
                <w:sz w:val="24"/>
                <w:szCs w:val="24"/>
              </w:rPr>
              <w:t>Приложени</w:t>
            </w:r>
            <w:r>
              <w:rPr>
                <w:sz w:val="24"/>
                <w:szCs w:val="24"/>
              </w:rPr>
              <w:t>я</w:t>
            </w:r>
          </w:p>
          <w:p w:rsidR="00F50EA2" w:rsidRPr="00F50EA2" w:rsidRDefault="00F50EA2" w:rsidP="00F50EA2">
            <w:pPr>
              <w:rPr>
                <w:sz w:val="24"/>
                <w:szCs w:val="24"/>
              </w:rPr>
            </w:pPr>
            <w:r w:rsidRPr="00F50EA2">
              <w:rPr>
                <w:sz w:val="24"/>
                <w:szCs w:val="24"/>
              </w:rPr>
              <w:t>постановлени</w:t>
            </w:r>
            <w:r>
              <w:rPr>
                <w:sz w:val="24"/>
                <w:szCs w:val="24"/>
              </w:rPr>
              <w:t>й</w:t>
            </w:r>
          </w:p>
        </w:tc>
      </w:tr>
      <w:tr w:rsidR="007151D8" w:rsidTr="008E69DE">
        <w:trPr>
          <w:trHeight w:val="699"/>
        </w:trPr>
        <w:tc>
          <w:tcPr>
            <w:tcW w:w="8755" w:type="dxa"/>
            <w:tcBorders>
              <w:bottom w:val="single" w:sz="4" w:space="0" w:color="000000" w:themeColor="text1"/>
            </w:tcBorders>
          </w:tcPr>
          <w:p w:rsidR="007151D8" w:rsidRDefault="007151D8" w:rsidP="007151D8">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 xml:space="preserve">о тарифах на услуги по передаче электрической энергии </w:t>
            </w:r>
          </w:p>
          <w:p w:rsidR="007151D8" w:rsidRDefault="007151D8" w:rsidP="007151D8">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ставка за содержание электрических сетей, руб./</w:t>
            </w:r>
            <w:proofErr w:type="spellStart"/>
            <w:r>
              <w:rPr>
                <w:rFonts w:eastAsia="Times New Roman"/>
                <w:color w:val="333333"/>
                <w:sz w:val="24"/>
                <w:szCs w:val="24"/>
                <w:lang w:eastAsia="ru-RU"/>
              </w:rPr>
              <w:t>МВт</w:t>
            </w:r>
            <w:proofErr w:type="gramStart"/>
            <w:r>
              <w:rPr>
                <w:rFonts w:eastAsia="Times New Roman"/>
                <w:color w:val="333333"/>
                <w:sz w:val="24"/>
                <w:szCs w:val="24"/>
                <w:lang w:eastAsia="ru-RU"/>
              </w:rPr>
              <w:t>.м</w:t>
            </w:r>
            <w:proofErr w:type="gramEnd"/>
            <w:r>
              <w:rPr>
                <w:rFonts w:eastAsia="Times New Roman"/>
                <w:color w:val="333333"/>
                <w:sz w:val="24"/>
                <w:szCs w:val="24"/>
                <w:lang w:eastAsia="ru-RU"/>
              </w:rPr>
              <w:t>ес</w:t>
            </w:r>
            <w:proofErr w:type="spellEnd"/>
          </w:p>
        </w:tc>
        <w:tc>
          <w:tcPr>
            <w:tcW w:w="1808" w:type="dxa"/>
          </w:tcPr>
          <w:p w:rsidR="007151D8" w:rsidRPr="00F50EA2" w:rsidRDefault="00895CBE">
            <w:pPr>
              <w:rPr>
                <w:sz w:val="24"/>
                <w:szCs w:val="24"/>
              </w:rPr>
            </w:pPr>
            <w:r w:rsidRPr="00F50EA2">
              <w:rPr>
                <w:sz w:val="24"/>
                <w:szCs w:val="24"/>
              </w:rPr>
              <w:t>443638,65</w:t>
            </w:r>
          </w:p>
        </w:tc>
      </w:tr>
      <w:tr w:rsidR="007151D8" w:rsidTr="008E69DE">
        <w:trPr>
          <w:trHeight w:val="699"/>
        </w:trPr>
        <w:tc>
          <w:tcPr>
            <w:tcW w:w="8755" w:type="dxa"/>
            <w:tcBorders>
              <w:bottom w:val="single" w:sz="4" w:space="0" w:color="000000" w:themeColor="text1"/>
            </w:tcBorders>
          </w:tcPr>
          <w:p w:rsidR="007151D8" w:rsidRDefault="007151D8"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Ставка на оплату технологического расхода (потерь), руб./</w:t>
            </w:r>
            <w:proofErr w:type="spellStart"/>
            <w:r>
              <w:rPr>
                <w:rFonts w:eastAsia="Times New Roman"/>
                <w:color w:val="333333"/>
                <w:sz w:val="24"/>
                <w:szCs w:val="24"/>
                <w:lang w:eastAsia="ru-RU"/>
              </w:rPr>
              <w:t>МВтч</w:t>
            </w:r>
            <w:proofErr w:type="spellEnd"/>
          </w:p>
        </w:tc>
        <w:tc>
          <w:tcPr>
            <w:tcW w:w="1808" w:type="dxa"/>
          </w:tcPr>
          <w:p w:rsidR="007151D8" w:rsidRPr="00F50EA2" w:rsidRDefault="00895CBE">
            <w:pPr>
              <w:rPr>
                <w:sz w:val="24"/>
                <w:szCs w:val="24"/>
              </w:rPr>
            </w:pPr>
            <w:r w:rsidRPr="00F50EA2">
              <w:rPr>
                <w:sz w:val="24"/>
                <w:szCs w:val="24"/>
              </w:rPr>
              <w:t>0,0</w:t>
            </w:r>
          </w:p>
        </w:tc>
      </w:tr>
      <w:tr w:rsidR="007151D8" w:rsidTr="008E69DE">
        <w:trPr>
          <w:trHeight w:val="699"/>
        </w:trPr>
        <w:tc>
          <w:tcPr>
            <w:tcW w:w="8755" w:type="dxa"/>
            <w:tcBorders>
              <w:bottom w:val="single" w:sz="4" w:space="0" w:color="000000" w:themeColor="text1"/>
            </w:tcBorders>
          </w:tcPr>
          <w:p w:rsidR="007151D8" w:rsidRDefault="00895CBE" w:rsidP="00C502A0">
            <w:pPr>
              <w:shd w:val="clear" w:color="auto" w:fill="FFFFFF"/>
              <w:spacing w:before="120"/>
              <w:jc w:val="both"/>
              <w:rPr>
                <w:rFonts w:eastAsia="Times New Roman"/>
                <w:color w:val="333333"/>
                <w:sz w:val="24"/>
                <w:szCs w:val="24"/>
                <w:lang w:eastAsia="ru-RU"/>
              </w:rPr>
            </w:pPr>
            <w:proofErr w:type="spellStart"/>
            <w:proofErr w:type="gramStart"/>
            <w:r>
              <w:rPr>
                <w:rFonts w:eastAsia="Times New Roman"/>
                <w:color w:val="333333"/>
                <w:sz w:val="24"/>
                <w:szCs w:val="24"/>
                <w:lang w:eastAsia="ru-RU"/>
              </w:rPr>
              <w:lastRenderedPageBreak/>
              <w:t>Одноставочный</w:t>
            </w:r>
            <w:proofErr w:type="spellEnd"/>
            <w:r>
              <w:rPr>
                <w:rFonts w:eastAsia="Times New Roman"/>
                <w:color w:val="333333"/>
                <w:sz w:val="24"/>
                <w:szCs w:val="24"/>
                <w:lang w:eastAsia="ru-RU"/>
              </w:rPr>
              <w:t xml:space="preserve"> тариф для населения, проживающих в селах Кузомень и </w:t>
            </w:r>
            <w:proofErr w:type="spellStart"/>
            <w:r>
              <w:rPr>
                <w:rFonts w:eastAsia="Times New Roman"/>
                <w:color w:val="333333"/>
                <w:sz w:val="24"/>
                <w:szCs w:val="24"/>
                <w:lang w:eastAsia="ru-RU"/>
              </w:rPr>
              <w:t>Кашкаранцы</w:t>
            </w:r>
            <w:proofErr w:type="spellEnd"/>
            <w:r>
              <w:rPr>
                <w:rFonts w:eastAsia="Times New Roman"/>
                <w:color w:val="333333"/>
                <w:sz w:val="24"/>
                <w:szCs w:val="24"/>
                <w:lang w:eastAsia="ru-RU"/>
              </w:rPr>
              <w:t xml:space="preserve"> руб./</w:t>
            </w:r>
            <w:proofErr w:type="spellStart"/>
            <w:r>
              <w:rPr>
                <w:rFonts w:eastAsia="Times New Roman"/>
                <w:color w:val="333333"/>
                <w:sz w:val="24"/>
                <w:szCs w:val="24"/>
                <w:lang w:eastAsia="ru-RU"/>
              </w:rPr>
              <w:t>МВтч</w:t>
            </w:r>
            <w:proofErr w:type="spellEnd"/>
            <w:proofErr w:type="gramEnd"/>
          </w:p>
        </w:tc>
        <w:tc>
          <w:tcPr>
            <w:tcW w:w="1808" w:type="dxa"/>
          </w:tcPr>
          <w:p w:rsidR="007151D8" w:rsidRPr="00F50EA2" w:rsidRDefault="00895CBE">
            <w:pPr>
              <w:rPr>
                <w:sz w:val="24"/>
                <w:szCs w:val="24"/>
              </w:rPr>
            </w:pPr>
            <w:r w:rsidRPr="00F50EA2">
              <w:rPr>
                <w:sz w:val="24"/>
                <w:szCs w:val="24"/>
              </w:rPr>
              <w:t>1172,81</w:t>
            </w:r>
          </w:p>
        </w:tc>
      </w:tr>
      <w:tr w:rsidR="00992BD5" w:rsidTr="008E69DE">
        <w:trPr>
          <w:trHeight w:val="2772"/>
        </w:trPr>
        <w:tc>
          <w:tcPr>
            <w:tcW w:w="8755" w:type="dxa"/>
            <w:tcBorders>
              <w:bottom w:val="single" w:sz="4" w:space="0" w:color="000000" w:themeColor="text1"/>
            </w:tcBorders>
          </w:tcPr>
          <w:p w:rsidR="00992BD5" w:rsidRPr="00540BFB" w:rsidRDefault="00992BD5"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92BD5" w:rsidRPr="00540BFB" w:rsidRDefault="00992BD5"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балансе электрической энергии и мощности, в том числе:</w:t>
            </w:r>
          </w:p>
          <w:p w:rsidR="00992BD5" w:rsidRDefault="00992BD5" w:rsidP="00C502A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1808" w:type="dxa"/>
          </w:tcPr>
          <w:p w:rsidR="00992BD5" w:rsidRPr="00F50EA2" w:rsidRDefault="007D21B0">
            <w:pPr>
              <w:rPr>
                <w:sz w:val="24"/>
                <w:szCs w:val="24"/>
              </w:rPr>
            </w:pPr>
            <w:r w:rsidRPr="00F50EA2">
              <w:rPr>
                <w:sz w:val="24"/>
                <w:szCs w:val="24"/>
              </w:rPr>
              <w:t>Приложение</w:t>
            </w:r>
            <w:r w:rsidR="00444BDF">
              <w:rPr>
                <w:sz w:val="24"/>
                <w:szCs w:val="24"/>
              </w:rPr>
              <w:t xml:space="preserve"> 6,7</w:t>
            </w:r>
          </w:p>
        </w:tc>
      </w:tr>
      <w:tr w:rsidR="00EC2F3E" w:rsidTr="008E69DE">
        <w:tc>
          <w:tcPr>
            <w:tcW w:w="8755" w:type="dxa"/>
            <w:tcBorders>
              <w:top w:val="single" w:sz="4" w:space="0" w:color="000000" w:themeColor="text1"/>
            </w:tcBorders>
          </w:tcPr>
          <w:p w:rsidR="00EC2F3E" w:rsidRDefault="00A35121" w:rsidP="00C502A0">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sidRPr="00540BFB">
              <w:rPr>
                <w:rFonts w:eastAsia="Times New Roman"/>
                <w:color w:val="333333"/>
                <w:sz w:val="24"/>
                <w:szCs w:val="24"/>
                <w:lang w:eastAsia="ru-RU"/>
              </w:rPr>
              <w:t xml:space="preserve"> уровней напряжений, используемых для ценообразования;</w:t>
            </w:r>
          </w:p>
        </w:tc>
        <w:tc>
          <w:tcPr>
            <w:tcW w:w="1808" w:type="dxa"/>
          </w:tcPr>
          <w:p w:rsidR="00EC2F3E" w:rsidRPr="00F50EA2" w:rsidRDefault="007D21B0">
            <w:pPr>
              <w:rPr>
                <w:sz w:val="24"/>
                <w:szCs w:val="24"/>
              </w:rPr>
            </w:pPr>
            <w:r w:rsidRPr="00F50EA2">
              <w:rPr>
                <w:sz w:val="24"/>
                <w:szCs w:val="24"/>
              </w:rPr>
              <w:t>Приложение</w:t>
            </w:r>
            <w:r w:rsidR="00B8633A">
              <w:rPr>
                <w:sz w:val="24"/>
                <w:szCs w:val="24"/>
              </w:rPr>
              <w:t xml:space="preserve"> 6</w:t>
            </w:r>
          </w:p>
        </w:tc>
      </w:tr>
      <w:tr w:rsidR="007D21B0" w:rsidTr="008E69DE">
        <w:tc>
          <w:tcPr>
            <w:tcW w:w="8755" w:type="dxa"/>
          </w:tcPr>
          <w:p w:rsidR="007D21B0" w:rsidRPr="00540BFB" w:rsidRDefault="00F4132F" w:rsidP="00C502A0">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2011</w:t>
            </w:r>
            <w:r>
              <w:rPr>
                <w:rFonts w:eastAsia="Times New Roman"/>
                <w:color w:val="333333"/>
                <w:sz w:val="24"/>
                <w:szCs w:val="24"/>
                <w:lang w:eastAsia="ru-RU"/>
              </w:rPr>
              <w:t>, кВтч</w:t>
            </w:r>
          </w:p>
        </w:tc>
        <w:tc>
          <w:tcPr>
            <w:tcW w:w="1808" w:type="dxa"/>
          </w:tcPr>
          <w:p w:rsidR="007D21B0" w:rsidRPr="00F50EA2" w:rsidRDefault="00F4132F">
            <w:pPr>
              <w:rPr>
                <w:sz w:val="24"/>
                <w:szCs w:val="24"/>
              </w:rPr>
            </w:pPr>
            <w:r w:rsidRPr="00F50EA2">
              <w:rPr>
                <w:sz w:val="24"/>
                <w:szCs w:val="24"/>
              </w:rPr>
              <w:t>591187</w:t>
            </w:r>
          </w:p>
        </w:tc>
      </w:tr>
      <w:tr w:rsidR="007D21B0" w:rsidTr="008E69DE">
        <w:tc>
          <w:tcPr>
            <w:tcW w:w="8755" w:type="dxa"/>
          </w:tcPr>
          <w:p w:rsidR="007D21B0" w:rsidRPr="00540BFB" w:rsidRDefault="00F4132F" w:rsidP="00C502A0">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2012</w:t>
            </w:r>
            <w:r>
              <w:rPr>
                <w:rFonts w:eastAsia="Times New Roman"/>
                <w:color w:val="333333"/>
                <w:sz w:val="24"/>
                <w:szCs w:val="24"/>
                <w:lang w:eastAsia="ru-RU"/>
              </w:rPr>
              <w:t>, кВтч</w:t>
            </w:r>
          </w:p>
        </w:tc>
        <w:tc>
          <w:tcPr>
            <w:tcW w:w="1808" w:type="dxa"/>
          </w:tcPr>
          <w:p w:rsidR="007D21B0" w:rsidRPr="00F50EA2" w:rsidRDefault="00F4132F">
            <w:pPr>
              <w:rPr>
                <w:sz w:val="24"/>
                <w:szCs w:val="24"/>
              </w:rPr>
            </w:pPr>
            <w:r w:rsidRPr="00F50EA2">
              <w:rPr>
                <w:sz w:val="24"/>
                <w:szCs w:val="24"/>
              </w:rPr>
              <w:t>591187</w:t>
            </w:r>
          </w:p>
        </w:tc>
      </w:tr>
      <w:tr w:rsidR="00EC2F3E" w:rsidTr="008E69DE">
        <w:tc>
          <w:tcPr>
            <w:tcW w:w="8755" w:type="dxa"/>
          </w:tcPr>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1808" w:type="dxa"/>
          </w:tcPr>
          <w:p w:rsidR="00EC2F3E" w:rsidRPr="00F50EA2" w:rsidRDefault="00A665B3">
            <w:pPr>
              <w:rPr>
                <w:sz w:val="24"/>
                <w:szCs w:val="24"/>
              </w:rPr>
            </w:pPr>
            <w:r>
              <w:rPr>
                <w:sz w:val="24"/>
                <w:szCs w:val="24"/>
              </w:rPr>
              <w:t>Приложение 5</w:t>
            </w:r>
          </w:p>
        </w:tc>
      </w:tr>
      <w:tr w:rsidR="00F4132F" w:rsidTr="008E69DE">
        <w:tc>
          <w:tcPr>
            <w:tcW w:w="8755" w:type="dxa"/>
          </w:tcPr>
          <w:p w:rsidR="00F4132F" w:rsidRPr="00187547" w:rsidRDefault="00F4132F" w:rsidP="003973A0">
            <w:pPr>
              <w:rPr>
                <w:rFonts w:eastAsia="Times New Roman"/>
                <w:color w:val="333333"/>
                <w:sz w:val="24"/>
                <w:szCs w:val="24"/>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2011</w:t>
            </w:r>
            <w:r>
              <w:rPr>
                <w:rFonts w:eastAsia="Times New Roman"/>
                <w:color w:val="333333"/>
                <w:sz w:val="24"/>
                <w:szCs w:val="24"/>
                <w:lang w:eastAsia="ru-RU"/>
              </w:rPr>
              <w:t>, кВтч</w:t>
            </w:r>
          </w:p>
        </w:tc>
        <w:tc>
          <w:tcPr>
            <w:tcW w:w="1808" w:type="dxa"/>
          </w:tcPr>
          <w:p w:rsidR="00F4132F" w:rsidRPr="00F50EA2" w:rsidRDefault="00F4132F">
            <w:pPr>
              <w:rPr>
                <w:sz w:val="24"/>
                <w:szCs w:val="24"/>
              </w:rPr>
            </w:pPr>
            <w:r w:rsidRPr="00F50EA2">
              <w:rPr>
                <w:sz w:val="24"/>
                <w:szCs w:val="24"/>
              </w:rPr>
              <w:t>200115</w:t>
            </w:r>
          </w:p>
        </w:tc>
      </w:tr>
      <w:tr w:rsidR="00F4132F" w:rsidTr="008E69DE">
        <w:tc>
          <w:tcPr>
            <w:tcW w:w="8755" w:type="dxa"/>
          </w:tcPr>
          <w:p w:rsidR="00F4132F" w:rsidRPr="00187547" w:rsidRDefault="00F4132F" w:rsidP="00F4132F">
            <w:pPr>
              <w:rPr>
                <w:rFonts w:eastAsia="Times New Roman"/>
                <w:color w:val="333333"/>
                <w:sz w:val="24"/>
                <w:szCs w:val="24"/>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2011</w:t>
            </w:r>
            <w:r>
              <w:rPr>
                <w:rFonts w:eastAsia="Times New Roman"/>
                <w:color w:val="333333"/>
                <w:sz w:val="24"/>
                <w:szCs w:val="24"/>
                <w:lang w:eastAsia="ru-RU"/>
              </w:rPr>
              <w:t>, %</w:t>
            </w:r>
          </w:p>
        </w:tc>
        <w:tc>
          <w:tcPr>
            <w:tcW w:w="1808" w:type="dxa"/>
          </w:tcPr>
          <w:p w:rsidR="00F4132F" w:rsidRPr="00F50EA2" w:rsidRDefault="00F4132F">
            <w:pPr>
              <w:rPr>
                <w:sz w:val="24"/>
                <w:szCs w:val="24"/>
              </w:rPr>
            </w:pPr>
            <w:r w:rsidRPr="00F50EA2">
              <w:rPr>
                <w:sz w:val="24"/>
                <w:szCs w:val="24"/>
              </w:rPr>
              <w:t>34</w:t>
            </w:r>
          </w:p>
        </w:tc>
      </w:tr>
      <w:tr w:rsidR="00F4132F" w:rsidTr="008E69DE">
        <w:tc>
          <w:tcPr>
            <w:tcW w:w="8755" w:type="dxa"/>
          </w:tcPr>
          <w:p w:rsidR="00F4132F" w:rsidRPr="00540BFB" w:rsidRDefault="00F4132F"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2012</w:t>
            </w:r>
            <w:r>
              <w:rPr>
                <w:rFonts w:eastAsia="Times New Roman"/>
                <w:color w:val="333333"/>
                <w:sz w:val="24"/>
                <w:szCs w:val="24"/>
                <w:lang w:eastAsia="ru-RU"/>
              </w:rPr>
              <w:t>, кВтч</w:t>
            </w:r>
          </w:p>
        </w:tc>
        <w:tc>
          <w:tcPr>
            <w:tcW w:w="1808" w:type="dxa"/>
          </w:tcPr>
          <w:p w:rsidR="00F4132F" w:rsidRPr="00F50EA2" w:rsidRDefault="00F4132F">
            <w:pPr>
              <w:rPr>
                <w:sz w:val="24"/>
                <w:szCs w:val="24"/>
              </w:rPr>
            </w:pPr>
            <w:r w:rsidRPr="00F50EA2">
              <w:rPr>
                <w:sz w:val="24"/>
                <w:szCs w:val="24"/>
              </w:rPr>
              <w:t>200115</w:t>
            </w:r>
          </w:p>
        </w:tc>
      </w:tr>
      <w:tr w:rsidR="00F4132F" w:rsidTr="008E69DE">
        <w:tc>
          <w:tcPr>
            <w:tcW w:w="8755" w:type="dxa"/>
          </w:tcPr>
          <w:p w:rsidR="00F4132F" w:rsidRPr="00540BFB" w:rsidRDefault="00F4132F" w:rsidP="00F4132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2012</w:t>
            </w:r>
            <w:r>
              <w:rPr>
                <w:rFonts w:eastAsia="Times New Roman"/>
                <w:color w:val="333333"/>
                <w:sz w:val="24"/>
                <w:szCs w:val="24"/>
                <w:lang w:eastAsia="ru-RU"/>
              </w:rPr>
              <w:t>, %</w:t>
            </w:r>
          </w:p>
        </w:tc>
        <w:tc>
          <w:tcPr>
            <w:tcW w:w="1808" w:type="dxa"/>
          </w:tcPr>
          <w:p w:rsidR="00F4132F" w:rsidRPr="00F50EA2" w:rsidRDefault="00F4132F">
            <w:pPr>
              <w:rPr>
                <w:sz w:val="24"/>
                <w:szCs w:val="24"/>
              </w:rPr>
            </w:pPr>
            <w:r w:rsidRPr="00F50EA2">
              <w:rPr>
                <w:sz w:val="24"/>
                <w:szCs w:val="24"/>
              </w:rPr>
              <w:t>34</w:t>
            </w:r>
          </w:p>
        </w:tc>
      </w:tr>
      <w:tr w:rsidR="00EC2F3E" w:rsidTr="008E69DE">
        <w:tc>
          <w:tcPr>
            <w:tcW w:w="8755" w:type="dxa"/>
          </w:tcPr>
          <w:p w:rsidR="00A35121" w:rsidRPr="00540BFB" w:rsidRDefault="00A35121"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затратах на оплату потерь, в том числе:</w:t>
            </w:r>
          </w:p>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затратах сетевой организации на покупку потерь в собственных сетях;</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F4132F" w:rsidP="00F4132F">
            <w:pPr>
              <w:shd w:val="clear" w:color="auto" w:fill="FFFFFF"/>
              <w:spacing w:before="120"/>
              <w:ind w:firstLine="540"/>
              <w:jc w:val="both"/>
              <w:rPr>
                <w:sz w:val="32"/>
                <w:szCs w:val="32"/>
              </w:rPr>
            </w:pPr>
            <w:r>
              <w:rPr>
                <w:rFonts w:eastAsia="Times New Roman"/>
                <w:color w:val="333333"/>
                <w:sz w:val="24"/>
                <w:szCs w:val="24"/>
                <w:lang w:eastAsia="ru-RU"/>
              </w:rPr>
              <w:t xml:space="preserve">об уровне нормативных </w:t>
            </w:r>
            <w:proofErr w:type="spellStart"/>
            <w:r>
              <w:rPr>
                <w:rFonts w:eastAsia="Times New Roman"/>
                <w:color w:val="333333"/>
                <w:sz w:val="24"/>
                <w:szCs w:val="24"/>
                <w:lang w:eastAsia="ru-RU"/>
              </w:rPr>
              <w:t>потерь,%</w:t>
            </w:r>
            <w:proofErr w:type="spellEnd"/>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мероприятий по снижению размеров потерь в сетях, а также о сроках их исполнения и источниках финансирования;</w:t>
            </w:r>
          </w:p>
        </w:tc>
        <w:tc>
          <w:tcPr>
            <w:tcW w:w="1808" w:type="dxa"/>
          </w:tcPr>
          <w:p w:rsidR="00EC2F3E" w:rsidRPr="00F50EA2" w:rsidRDefault="00F4132F">
            <w:pPr>
              <w:rPr>
                <w:sz w:val="24"/>
                <w:szCs w:val="24"/>
              </w:rPr>
            </w:pPr>
            <w:r w:rsidRPr="00F50EA2">
              <w:rPr>
                <w:sz w:val="24"/>
                <w:szCs w:val="24"/>
              </w:rPr>
              <w:t>Приложение</w:t>
            </w:r>
            <w:r w:rsidR="00B8633A">
              <w:rPr>
                <w:sz w:val="24"/>
                <w:szCs w:val="24"/>
              </w:rPr>
              <w:t xml:space="preserve"> 3</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закупке сетевыми организациями электрической энергии для компенсации потерь в сетях и ее стоимости;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размере фактических потерь, оплачиваемых покупателями при осуществлении расчетов за электрическую энергию по уровням напряжения;</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w:t>
            </w:r>
            <w:proofErr w:type="spellStart"/>
            <w:r w:rsidRPr="00540BFB">
              <w:rPr>
                <w:rFonts w:eastAsia="Times New Roman"/>
                <w:color w:val="333333"/>
                <w:sz w:val="24"/>
                <w:szCs w:val="24"/>
                <w:lang w:eastAsia="ru-RU"/>
              </w:rPr>
              <w:t>электросетевого</w:t>
            </w:r>
            <w:proofErr w:type="spellEnd"/>
            <w:r w:rsidRPr="00540BFB">
              <w:rPr>
                <w:rFonts w:eastAsia="Times New Roman"/>
                <w:color w:val="333333"/>
                <w:sz w:val="24"/>
                <w:szCs w:val="24"/>
                <w:lang w:eastAsia="ru-RU"/>
              </w:rPr>
              <w:t xml:space="preserve"> хозяйства, находящегося в собственности сетевой организации или на ином законном основании;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C502A0" w:rsidRPr="00540BFB" w:rsidRDefault="00C502A0"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техническом состоянии сетей, в том числе:</w:t>
            </w:r>
          </w:p>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w:t>
            </w:r>
            <w:proofErr w:type="spellStart"/>
            <w:r w:rsidRPr="00540BFB">
              <w:rPr>
                <w:rFonts w:eastAsia="Times New Roman"/>
                <w:color w:val="333333"/>
                <w:sz w:val="24"/>
                <w:szCs w:val="24"/>
                <w:lang w:eastAsia="ru-RU"/>
              </w:rPr>
              <w:t>электросетевого</w:t>
            </w:r>
            <w:proofErr w:type="spellEnd"/>
            <w:r w:rsidRPr="00540BFB">
              <w:rPr>
                <w:rFonts w:eastAsia="Times New Roman"/>
                <w:color w:val="333333"/>
                <w:sz w:val="24"/>
                <w:szCs w:val="24"/>
                <w:lang w:eastAsia="ru-RU"/>
              </w:rPr>
              <w:t xml:space="preserve"> хозяйства, с указанием даты аварийного отключения объектов </w:t>
            </w:r>
            <w:proofErr w:type="spellStart"/>
            <w:r w:rsidRPr="00540BFB">
              <w:rPr>
                <w:rFonts w:eastAsia="Times New Roman"/>
                <w:color w:val="333333"/>
                <w:sz w:val="24"/>
                <w:szCs w:val="24"/>
                <w:lang w:eastAsia="ru-RU"/>
              </w:rPr>
              <w:t>электросетевого</w:t>
            </w:r>
            <w:proofErr w:type="spellEnd"/>
            <w:r w:rsidRPr="00540BFB">
              <w:rPr>
                <w:rFonts w:eastAsia="Times New Roman"/>
                <w:color w:val="333333"/>
                <w:sz w:val="24"/>
                <w:szCs w:val="24"/>
                <w:lang w:eastAsia="ru-RU"/>
              </w:rPr>
              <w:t xml:space="preserve"> хозяйства и включения их в работу, причин аварий (по итогам расследования в установленном порядке) и мероприятий по их устранению;</w:t>
            </w:r>
          </w:p>
        </w:tc>
        <w:tc>
          <w:tcPr>
            <w:tcW w:w="1808" w:type="dxa"/>
          </w:tcPr>
          <w:p w:rsidR="00EC2F3E" w:rsidRPr="00F50EA2" w:rsidRDefault="0059002F">
            <w:pPr>
              <w:rPr>
                <w:sz w:val="24"/>
                <w:szCs w:val="24"/>
              </w:rPr>
            </w:pPr>
            <w:r w:rsidRPr="00F50EA2">
              <w:rPr>
                <w:sz w:val="24"/>
                <w:szCs w:val="24"/>
              </w:rPr>
              <w:t>Приложение</w:t>
            </w:r>
            <w:r w:rsidR="00BD4A14">
              <w:rPr>
                <w:sz w:val="24"/>
                <w:szCs w:val="24"/>
              </w:rPr>
              <w:t xml:space="preserve"> 11</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об объеме недопоставленной в результате аварийных отключений электрической энергии;</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вводе в ремонт и выводе из ремонта </w:t>
            </w:r>
            <w:proofErr w:type="spellStart"/>
            <w:r w:rsidRPr="00540BFB">
              <w:rPr>
                <w:rFonts w:eastAsia="Times New Roman"/>
                <w:color w:val="333333"/>
                <w:sz w:val="24"/>
                <w:szCs w:val="24"/>
                <w:lang w:eastAsia="ru-RU"/>
              </w:rPr>
              <w:t>электросетевых</w:t>
            </w:r>
            <w:proofErr w:type="spellEnd"/>
            <w:r w:rsidRPr="00540BFB">
              <w:rPr>
                <w:rFonts w:eastAsia="Times New Roman"/>
                <w:color w:val="333333"/>
                <w:sz w:val="24"/>
                <w:szCs w:val="24"/>
                <w:lang w:eastAsia="ru-RU"/>
              </w:rPr>
              <w:t xml:space="preserve"> объектов с указанием сроков (сводная информация);</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jc w:val="both"/>
              <w:rPr>
                <w:sz w:val="32"/>
                <w:szCs w:val="32"/>
              </w:rPr>
            </w:pPr>
            <w:proofErr w:type="gramStart"/>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w:t>
            </w:r>
            <w:proofErr w:type="gramEnd"/>
            <w:r w:rsidRPr="00540BFB">
              <w:rPr>
                <w:rFonts w:eastAsia="Times New Roman"/>
                <w:color w:val="333333"/>
                <w:sz w:val="24"/>
                <w:szCs w:val="24"/>
                <w:lang w:eastAsia="ru-RU"/>
              </w:rPr>
              <w:t xml:space="preserve"> по сетевой компании с указанием количества:</w:t>
            </w:r>
          </w:p>
        </w:tc>
        <w:tc>
          <w:tcPr>
            <w:tcW w:w="1808" w:type="dxa"/>
          </w:tcPr>
          <w:p w:rsidR="00EC2F3E" w:rsidRPr="00F50EA2" w:rsidRDefault="00840321">
            <w:pPr>
              <w:rPr>
                <w:sz w:val="24"/>
                <w:szCs w:val="24"/>
              </w:rPr>
            </w:pPr>
            <w:r>
              <w:rPr>
                <w:sz w:val="24"/>
                <w:szCs w:val="24"/>
              </w:rPr>
              <w:t>Приложение 2</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поданных заявок и объема мощности, необходимого для их удовлетворения;</w:t>
            </w:r>
          </w:p>
        </w:tc>
        <w:tc>
          <w:tcPr>
            <w:tcW w:w="1808" w:type="dxa"/>
          </w:tcPr>
          <w:p w:rsidR="00EC2F3E" w:rsidRPr="00F50EA2" w:rsidRDefault="00690C2F">
            <w:pPr>
              <w:rPr>
                <w:sz w:val="24"/>
                <w:szCs w:val="24"/>
              </w:rPr>
            </w:pPr>
            <w:r>
              <w:rPr>
                <w:sz w:val="24"/>
                <w:szCs w:val="24"/>
              </w:rPr>
              <w:t>143</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1808" w:type="dxa"/>
          </w:tcPr>
          <w:p w:rsidR="00EC2F3E" w:rsidRDefault="00840321">
            <w:pPr>
              <w:rPr>
                <w:sz w:val="24"/>
                <w:szCs w:val="24"/>
              </w:rPr>
            </w:pPr>
            <w:r>
              <w:rPr>
                <w:sz w:val="24"/>
                <w:szCs w:val="24"/>
              </w:rPr>
              <w:t xml:space="preserve">Приложение 2, </w:t>
            </w:r>
          </w:p>
          <w:p w:rsidR="00840321" w:rsidRPr="00F50EA2" w:rsidRDefault="00840321">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аннулированных заявок на технологическое присоединение;</w:t>
            </w:r>
          </w:p>
        </w:tc>
        <w:tc>
          <w:tcPr>
            <w:tcW w:w="1808" w:type="dxa"/>
          </w:tcPr>
          <w:p w:rsidR="00EC2F3E" w:rsidRPr="00F50EA2" w:rsidRDefault="00840321">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выполненных присоединений и присоединенной мощности;</w:t>
            </w:r>
          </w:p>
        </w:tc>
        <w:tc>
          <w:tcPr>
            <w:tcW w:w="1808" w:type="dxa"/>
          </w:tcPr>
          <w:p w:rsidR="00EC2F3E" w:rsidRPr="00F50EA2" w:rsidRDefault="00840321">
            <w:pPr>
              <w:rPr>
                <w:sz w:val="24"/>
                <w:szCs w:val="24"/>
              </w:rPr>
            </w:pPr>
            <w:r>
              <w:rPr>
                <w:sz w:val="24"/>
                <w:szCs w:val="24"/>
              </w:rPr>
              <w:t>143</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результатах контрольных </w:t>
            </w:r>
            <w:proofErr w:type="gramStart"/>
            <w:r w:rsidRPr="00540BFB">
              <w:rPr>
                <w:rFonts w:eastAsia="Times New Roman"/>
                <w:color w:val="333333"/>
                <w:sz w:val="24"/>
                <w:szCs w:val="24"/>
                <w:lang w:eastAsia="ru-RU"/>
              </w:rPr>
              <w:t>замеров электрических параметров режимов работы оборудования объектов</w:t>
            </w:r>
            <w:proofErr w:type="gramEnd"/>
            <w:r w:rsidRPr="00540BFB">
              <w:rPr>
                <w:rFonts w:eastAsia="Times New Roman"/>
                <w:color w:val="333333"/>
                <w:sz w:val="24"/>
                <w:szCs w:val="24"/>
                <w:lang w:eastAsia="ru-RU"/>
              </w:rPr>
              <w:t xml:space="preserve"> </w:t>
            </w:r>
            <w:proofErr w:type="spellStart"/>
            <w:r w:rsidRPr="00540BFB">
              <w:rPr>
                <w:rFonts w:eastAsia="Times New Roman"/>
                <w:color w:val="333333"/>
                <w:sz w:val="24"/>
                <w:szCs w:val="24"/>
                <w:lang w:eastAsia="ru-RU"/>
              </w:rPr>
              <w:t>электросетевого</w:t>
            </w:r>
            <w:proofErr w:type="spellEnd"/>
            <w:r w:rsidRPr="00540BFB">
              <w:rPr>
                <w:rFonts w:eastAsia="Times New Roman"/>
                <w:color w:val="333333"/>
                <w:sz w:val="24"/>
                <w:szCs w:val="24"/>
                <w:lang w:eastAsia="ru-RU"/>
              </w:rPr>
              <w:t xml:space="preserve"> хозяйства, то есть замеров </w:t>
            </w:r>
            <w:proofErr w:type="spellStart"/>
            <w:r w:rsidRPr="00540BFB">
              <w:rPr>
                <w:rFonts w:eastAsia="Times New Roman"/>
                <w:color w:val="333333"/>
                <w:sz w:val="24"/>
                <w:szCs w:val="24"/>
                <w:lang w:eastAsia="ru-RU"/>
              </w:rPr>
              <w:t>потокораспределения</w:t>
            </w:r>
            <w:proofErr w:type="spellEnd"/>
            <w:r w:rsidRPr="00540BFB">
              <w:rPr>
                <w:rFonts w:eastAsia="Times New Roman"/>
                <w:color w:val="333333"/>
                <w:sz w:val="24"/>
                <w:szCs w:val="24"/>
                <w:lang w:eastAsia="ru-RU"/>
              </w:rPr>
              <w:t>, нагрузок и уровней напряжения;</w:t>
            </w:r>
          </w:p>
        </w:tc>
        <w:tc>
          <w:tcPr>
            <w:tcW w:w="1808" w:type="dxa"/>
          </w:tcPr>
          <w:p w:rsidR="00EC2F3E" w:rsidRPr="00F50EA2" w:rsidRDefault="00EC2F3E">
            <w:pPr>
              <w:rPr>
                <w:sz w:val="24"/>
                <w:szCs w:val="24"/>
              </w:rPr>
            </w:pPr>
          </w:p>
        </w:tc>
      </w:tr>
      <w:tr w:rsidR="00EC2F3E" w:rsidTr="008E69DE">
        <w:tc>
          <w:tcPr>
            <w:tcW w:w="8755" w:type="dxa"/>
          </w:tcPr>
          <w:p w:rsidR="00EC2F3E" w:rsidRDefault="00992BD5" w:rsidP="00992BD5">
            <w:pPr>
              <w:shd w:val="clear" w:color="auto" w:fill="FFFFFF"/>
              <w:spacing w:before="120"/>
              <w:jc w:val="both"/>
              <w:rPr>
                <w:sz w:val="32"/>
                <w:szCs w:val="32"/>
              </w:rPr>
            </w:pPr>
            <w:proofErr w:type="gramStart"/>
            <w:r>
              <w:rPr>
                <w:rFonts w:eastAsia="Times New Roman"/>
                <w:color w:val="333333"/>
                <w:sz w:val="24"/>
                <w:szCs w:val="24"/>
                <w:lang w:eastAsia="ru-RU"/>
              </w:rPr>
              <w:t xml:space="preserve">11.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808" w:type="dxa"/>
          </w:tcPr>
          <w:p w:rsidR="00EC2F3E" w:rsidRPr="00F50EA2" w:rsidRDefault="00AC37FD">
            <w:pPr>
              <w:rPr>
                <w:sz w:val="24"/>
                <w:szCs w:val="24"/>
              </w:rPr>
            </w:pPr>
            <w:r>
              <w:rPr>
                <w:sz w:val="24"/>
                <w:szCs w:val="24"/>
              </w:rPr>
              <w:t>19</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е)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808" w:type="dxa"/>
          </w:tcPr>
          <w:p w:rsidR="00EC2F3E" w:rsidRPr="00F50EA2" w:rsidRDefault="00EC2F3E">
            <w:pPr>
              <w:rPr>
                <w:sz w:val="24"/>
                <w:szCs w:val="24"/>
              </w:rPr>
            </w:pP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ж)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инвестиционных программах (о проектах инвестиционных программ) и отчетах об их реализации, включая:</w:t>
            </w:r>
          </w:p>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roofErr w:type="gramEnd"/>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lastRenderedPageBreak/>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roofErr w:type="gramEnd"/>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11.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способах приобретения, стоимости и объемах товаров, необходимых для оказания услуг по передаче электроэнергии, включая информацию:</w:t>
            </w:r>
          </w:p>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корпоративных правилах осуществления закупок (включая использование конкурсов, аукционов);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EC2F3E">
            <w:pPr>
              <w:rPr>
                <w:sz w:val="32"/>
                <w:szCs w:val="32"/>
              </w:rPr>
            </w:pPr>
          </w:p>
        </w:tc>
        <w:tc>
          <w:tcPr>
            <w:tcW w:w="1808" w:type="dxa"/>
          </w:tcPr>
          <w:p w:rsidR="00EC2F3E" w:rsidRPr="00F50EA2" w:rsidRDefault="00EC2F3E">
            <w:pPr>
              <w:rPr>
                <w:sz w:val="24"/>
                <w:szCs w:val="24"/>
              </w:rPr>
            </w:pPr>
          </w:p>
        </w:tc>
      </w:tr>
      <w:tr w:rsidR="00EC2F3E" w:rsidTr="008E69DE">
        <w:tc>
          <w:tcPr>
            <w:tcW w:w="8755" w:type="dxa"/>
          </w:tcPr>
          <w:p w:rsidR="00EC2F3E" w:rsidRDefault="003F0233" w:rsidP="00CF6594">
            <w:pPr>
              <w:shd w:val="clear" w:color="auto" w:fill="FFFFFF"/>
              <w:spacing w:before="120"/>
              <w:jc w:val="both"/>
              <w:rPr>
                <w:sz w:val="32"/>
                <w:szCs w:val="32"/>
              </w:rPr>
            </w:pPr>
            <w:proofErr w:type="gramStart"/>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а)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w:t>
            </w:r>
            <w:proofErr w:type="gramEnd"/>
            <w:r w:rsidRPr="00540BFB">
              <w:rPr>
                <w:rFonts w:eastAsia="Times New Roman"/>
                <w:color w:val="333333"/>
                <w:sz w:val="24"/>
                <w:szCs w:val="24"/>
                <w:lang w:eastAsia="ru-RU"/>
              </w:rPr>
              <w:t xml:space="preserve"> определения, и источников официального опубликования этих актов;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3F0233" w:rsidRPr="00540BFB" w:rsidRDefault="003F0233" w:rsidP="003F0233">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основных потребительских характеристиках услуг по оперативно-диспетчерскому управлению в электроэнергетике, включая информацию:</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значении частоты электрического тока по форме, установленной Федеральной службой по тарифам;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фактах объявления режима с высокими рисками нарушения электроснабжения с указанием причины, времени и территории объявления такого режима;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о прогнозе изменений в значениях максимально допустимых величин поставки мощности между зонами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суммарной мощности существующих и планируемых к строительству и выводу из эксплуатации электрических </w:t>
            </w:r>
            <w:proofErr w:type="gramStart"/>
            <w:r w:rsidRPr="00540BFB">
              <w:rPr>
                <w:rFonts w:eastAsia="Times New Roman"/>
                <w:color w:val="333333"/>
                <w:sz w:val="24"/>
                <w:szCs w:val="24"/>
                <w:lang w:eastAsia="ru-RU"/>
              </w:rPr>
              <w:t>станций</w:t>
            </w:r>
            <w:proofErr w:type="gramEnd"/>
            <w:r w:rsidRPr="00540BFB">
              <w:rPr>
                <w:rFonts w:eastAsia="Times New Roman"/>
                <w:color w:val="333333"/>
                <w:sz w:val="24"/>
                <w:szCs w:val="24"/>
                <w:lang w:eastAsia="ru-RU"/>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ветвей и контролируемых сечений расчетной модели с разбивкой по ценовым зонам оптового рынка;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и ветвей расчетной модели с разбивкой по классам основного напряжения моделируемых элементов сети;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учитываемых электрических станций установленной мощностью 25 МВт и выше;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A275E7" w:rsidRPr="00540BFB" w:rsidRDefault="00A275E7"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 xml:space="preserve">о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в рамках ценовых зон оптового рынка с указанием:</w:t>
            </w:r>
          </w:p>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w:t>
            </w:r>
            <w:r w:rsidRPr="00540BFB">
              <w:rPr>
                <w:rFonts w:eastAsia="Times New Roman"/>
                <w:color w:val="333333"/>
                <w:sz w:val="24"/>
                <w:szCs w:val="24"/>
                <w:lang w:eastAsia="ru-RU"/>
              </w:rPr>
              <w:lastRenderedPageBreak/>
              <w:t>включенного генерирующего оборудования;</w:t>
            </w:r>
          </w:p>
        </w:tc>
        <w:tc>
          <w:tcPr>
            <w:tcW w:w="1808" w:type="dxa"/>
          </w:tcPr>
          <w:p w:rsidR="00EC2F3E" w:rsidRPr="00F50EA2" w:rsidRDefault="00EA118A">
            <w:pPr>
              <w:rPr>
                <w:sz w:val="24"/>
                <w:szCs w:val="24"/>
              </w:rPr>
            </w:pPr>
            <w:r>
              <w:rPr>
                <w:sz w:val="24"/>
                <w:szCs w:val="24"/>
              </w:rPr>
              <w:lastRenderedPageBreak/>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посуточного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суммарной величины ограничений максимальной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по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суммарной величины минимальной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540BFB">
              <w:rPr>
                <w:rFonts w:eastAsia="Times New Roman"/>
                <w:color w:val="333333"/>
                <w:sz w:val="24"/>
                <w:szCs w:val="24"/>
                <w:lang w:eastAsia="ru-RU"/>
              </w:rPr>
              <w:t>внутрисуточного</w:t>
            </w:r>
            <w:proofErr w:type="spellEnd"/>
            <w:r w:rsidRPr="00540BFB">
              <w:rPr>
                <w:rFonts w:eastAsia="Times New Roman"/>
                <w:color w:val="333333"/>
                <w:sz w:val="24"/>
                <w:szCs w:val="24"/>
                <w:lang w:eastAsia="ru-RU"/>
              </w:rPr>
              <w:t xml:space="preserve"> планирования;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CF6594" w:rsidRPr="00540BFB" w:rsidRDefault="00CF6594" w:rsidP="00CF65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организации, осуществляющей страхование;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объема средств, предназначенных для страхования и учтенных при установлении тарифов на услуги по оперативно-диспетчерскому управлению в </w:t>
            </w:r>
            <w:r w:rsidRPr="00540BFB">
              <w:rPr>
                <w:rFonts w:eastAsia="Times New Roman"/>
                <w:color w:val="333333"/>
                <w:sz w:val="24"/>
                <w:szCs w:val="24"/>
                <w:lang w:eastAsia="ru-RU"/>
              </w:rPr>
              <w:lastRenderedPageBreak/>
              <w:t>электроэнергетике;</w:t>
            </w:r>
          </w:p>
        </w:tc>
        <w:tc>
          <w:tcPr>
            <w:tcW w:w="1808" w:type="dxa"/>
          </w:tcPr>
          <w:p w:rsidR="00EC2F3E" w:rsidRPr="00F50EA2" w:rsidRDefault="00EA118A">
            <w:pPr>
              <w:rPr>
                <w:sz w:val="24"/>
                <w:szCs w:val="24"/>
              </w:rPr>
            </w:pPr>
            <w:r>
              <w:rPr>
                <w:sz w:val="24"/>
                <w:szCs w:val="24"/>
              </w:rPr>
              <w:lastRenderedPageBreak/>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размера страховой премии, предусмотренной договором страхования;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системных генераторов;</w:t>
            </w:r>
          </w:p>
        </w:tc>
        <w:tc>
          <w:tcPr>
            <w:tcW w:w="1808" w:type="dxa"/>
          </w:tcPr>
          <w:p w:rsidR="00EC2F3E" w:rsidRPr="00F50EA2" w:rsidRDefault="00EA118A">
            <w:pPr>
              <w:rPr>
                <w:sz w:val="24"/>
                <w:szCs w:val="24"/>
              </w:rPr>
            </w:pPr>
            <w:r>
              <w:rPr>
                <w:sz w:val="24"/>
                <w:szCs w:val="24"/>
              </w:rPr>
              <w:t>нет</w:t>
            </w:r>
          </w:p>
        </w:tc>
      </w:tr>
      <w:tr w:rsidR="00EC2F3E" w:rsidTr="008E69DE">
        <w:trPr>
          <w:trHeight w:val="1392"/>
        </w:trPr>
        <w:tc>
          <w:tcPr>
            <w:tcW w:w="8755" w:type="dxa"/>
          </w:tcPr>
          <w:p w:rsidR="00A37860" w:rsidRPr="00540BFB" w:rsidRDefault="00A37860" w:rsidP="00A3786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наличии (об отсутствии) технической возможности доступа к услугам по оперативно-диспетчерскому управлению в электроэнергетике с указанием:</w:t>
            </w:r>
          </w:p>
          <w:p w:rsidR="00EC2F3E" w:rsidRDefault="00A37860" w:rsidP="00A37860">
            <w:pPr>
              <w:shd w:val="clear" w:color="auto" w:fill="FFFFFF"/>
              <w:spacing w:before="120"/>
              <w:ind w:firstLine="540"/>
              <w:jc w:val="both"/>
              <w:rPr>
                <w:sz w:val="32"/>
                <w:szCs w:val="32"/>
              </w:rPr>
            </w:pPr>
            <w:r w:rsidRPr="00540BFB">
              <w:rPr>
                <w:rFonts w:eastAsia="Times New Roman"/>
                <w:color w:val="333333"/>
                <w:sz w:val="24"/>
                <w:szCs w:val="24"/>
                <w:lang w:eastAsia="ru-RU"/>
              </w:rPr>
              <w:t>зоны диспетчерской ответственности субъекта оперативно-диспетчерского управления в электроэнергетике;</w:t>
            </w:r>
          </w:p>
        </w:tc>
        <w:tc>
          <w:tcPr>
            <w:tcW w:w="1808" w:type="dxa"/>
          </w:tcPr>
          <w:p w:rsidR="00EC2F3E" w:rsidRPr="00F50EA2" w:rsidRDefault="00EA118A">
            <w:pPr>
              <w:rPr>
                <w:sz w:val="24"/>
                <w:szCs w:val="24"/>
              </w:rPr>
            </w:pPr>
            <w:r>
              <w:rPr>
                <w:sz w:val="24"/>
                <w:szCs w:val="24"/>
              </w:rPr>
              <w:t>нет</w:t>
            </w:r>
          </w:p>
        </w:tc>
      </w:tr>
      <w:tr w:rsidR="00EA118A" w:rsidTr="008E69DE">
        <w:trPr>
          <w:trHeight w:val="1038"/>
        </w:trPr>
        <w:tc>
          <w:tcPr>
            <w:tcW w:w="8755" w:type="dxa"/>
          </w:tcPr>
          <w:p w:rsidR="00EA118A" w:rsidRDefault="00EA118A" w:rsidP="00A3786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требований </w:t>
            </w:r>
            <w:proofErr w:type="gramStart"/>
            <w:r w:rsidRPr="00540BFB">
              <w:rPr>
                <w:rFonts w:eastAsia="Times New Roman"/>
                <w:color w:val="333333"/>
                <w:sz w:val="24"/>
                <w:szCs w:val="24"/>
                <w:lang w:eastAsia="ru-RU"/>
              </w:rPr>
              <w:t>к заявке о предоставлении доступа к услугам по оперативно-диспетчерскому управлению в электроэнергетике</w:t>
            </w:r>
            <w:proofErr w:type="gramEnd"/>
            <w:r w:rsidRPr="00540BFB">
              <w:rPr>
                <w:rFonts w:eastAsia="Times New Roman"/>
                <w:color w:val="333333"/>
                <w:sz w:val="24"/>
                <w:szCs w:val="24"/>
                <w:lang w:eastAsia="ru-RU"/>
              </w:rPr>
              <w:t>;</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г)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sz w:val="32"/>
                <w:szCs w:val="32"/>
              </w:rPr>
            </w:pPr>
            <w:r>
              <w:rPr>
                <w:rFonts w:eastAsia="Times New Roman"/>
                <w:color w:val="333333"/>
                <w:sz w:val="24"/>
                <w:szCs w:val="24"/>
                <w:lang w:eastAsia="ru-RU"/>
              </w:rPr>
              <w:t xml:space="preserve">13.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tc>
        <w:tc>
          <w:tcPr>
            <w:tcW w:w="1808" w:type="dxa"/>
          </w:tcPr>
          <w:p w:rsidR="00EA118A" w:rsidRDefault="00EA118A">
            <w:r w:rsidRPr="00EA0188">
              <w:rPr>
                <w:sz w:val="24"/>
                <w:szCs w:val="24"/>
              </w:rPr>
              <w:t>нет</w:t>
            </w:r>
          </w:p>
        </w:tc>
      </w:tr>
      <w:tr w:rsidR="00EA118A" w:rsidTr="008E69DE">
        <w:tc>
          <w:tcPr>
            <w:tcW w:w="8755" w:type="dxa"/>
          </w:tcPr>
          <w:p w:rsidR="00EA118A" w:rsidRPr="00540BFB"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е)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открытых закупочных процедур в случаях, предусмотренных нормативными правовыми актами или локальными актами субъекта оперативно-</w:t>
            </w:r>
            <w:r w:rsidRPr="00540BFB">
              <w:rPr>
                <w:rFonts w:eastAsia="Times New Roman"/>
                <w:color w:val="333333"/>
                <w:sz w:val="24"/>
                <w:szCs w:val="24"/>
                <w:lang w:eastAsia="ru-RU"/>
              </w:rPr>
              <w:lastRenderedPageBreak/>
              <w:t>диспетчерского управления, а также о стоимости и объемах товаров (услуг), приобретаемых с использованием открытых закупочных процедур;</w:t>
            </w:r>
          </w:p>
        </w:tc>
        <w:tc>
          <w:tcPr>
            <w:tcW w:w="1808" w:type="dxa"/>
          </w:tcPr>
          <w:p w:rsidR="00EA118A" w:rsidRDefault="00EA118A">
            <w:r w:rsidRPr="00EA0188">
              <w:rPr>
                <w:sz w:val="24"/>
                <w:szCs w:val="24"/>
              </w:rPr>
              <w:lastRenderedPageBreak/>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tc>
        <w:tc>
          <w:tcPr>
            <w:tcW w:w="1808" w:type="dxa"/>
          </w:tcPr>
          <w:p w:rsidR="00EA118A" w:rsidRDefault="00EA118A">
            <w:r w:rsidRPr="00EA0188">
              <w:rPr>
                <w:sz w:val="24"/>
                <w:szCs w:val="24"/>
              </w:rPr>
              <w:t>нет</w:t>
            </w:r>
          </w:p>
        </w:tc>
      </w:tr>
      <w:tr w:rsidR="00EC2F3E" w:rsidTr="008E69DE">
        <w:tc>
          <w:tcPr>
            <w:tcW w:w="8755" w:type="dxa"/>
          </w:tcPr>
          <w:p w:rsidR="00EC2F3E" w:rsidRPr="00E3348E"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15. </w:t>
            </w:r>
            <w:r w:rsidRPr="00540BFB">
              <w:rPr>
                <w:rFonts w:eastAsia="Times New Roman"/>
                <w:color w:val="333333"/>
                <w:sz w:val="24"/>
                <w:szCs w:val="24"/>
                <w:lang w:eastAsia="ru-RU"/>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tc>
        <w:tc>
          <w:tcPr>
            <w:tcW w:w="1808" w:type="dxa"/>
          </w:tcPr>
          <w:p w:rsidR="00EC2F3E" w:rsidRPr="00F50EA2" w:rsidRDefault="008E69DE">
            <w:pPr>
              <w:rPr>
                <w:sz w:val="24"/>
                <w:szCs w:val="24"/>
              </w:rPr>
            </w:pPr>
            <w:r>
              <w:rPr>
                <w:sz w:val="24"/>
                <w:szCs w:val="24"/>
              </w:rPr>
              <w:t xml:space="preserve">Приложение </w:t>
            </w:r>
            <w:proofErr w:type="spellStart"/>
            <w:r>
              <w:rPr>
                <w:sz w:val="24"/>
                <w:szCs w:val="24"/>
              </w:rPr>
              <w:t>постановл</w:t>
            </w:r>
            <w:proofErr w:type="spellEnd"/>
            <w:r>
              <w:rPr>
                <w:sz w:val="24"/>
                <w:szCs w:val="24"/>
              </w:rPr>
              <w:t>.</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в) информацию об инвестиционных программах производителей электрической энергии;</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253D68">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г) информацию о расходах электроэнергии на собственные и хозяйственные нужды генерирующего оборудования при выработке электрической энергии с указанием наименования и типа станции;</w:t>
            </w:r>
          </w:p>
        </w:tc>
        <w:tc>
          <w:tcPr>
            <w:tcW w:w="1808" w:type="dxa"/>
          </w:tcPr>
          <w:p w:rsidR="00EC2F3E" w:rsidRPr="00F50EA2" w:rsidRDefault="00253D68">
            <w:pPr>
              <w:rPr>
                <w:sz w:val="24"/>
                <w:szCs w:val="24"/>
              </w:rPr>
            </w:pPr>
            <w:r>
              <w:rPr>
                <w:sz w:val="24"/>
                <w:szCs w:val="24"/>
              </w:rPr>
              <w:t>Приложение 4</w:t>
            </w:r>
          </w:p>
        </w:tc>
      </w:tr>
      <w:tr w:rsidR="00253D68" w:rsidTr="008E69DE">
        <w:tc>
          <w:tcPr>
            <w:tcW w:w="8755" w:type="dxa"/>
          </w:tcPr>
          <w:p w:rsidR="00253D68" w:rsidRDefault="00253D68"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План 2011г., кВт/</w:t>
            </w:r>
            <w:proofErr w:type="gramStart"/>
            <w:r>
              <w:rPr>
                <w:rFonts w:eastAsia="Times New Roman"/>
                <w:color w:val="333333"/>
                <w:sz w:val="24"/>
                <w:szCs w:val="24"/>
                <w:lang w:eastAsia="ru-RU"/>
              </w:rPr>
              <w:t>ч</w:t>
            </w:r>
            <w:proofErr w:type="gramEnd"/>
          </w:p>
        </w:tc>
        <w:tc>
          <w:tcPr>
            <w:tcW w:w="1808" w:type="dxa"/>
          </w:tcPr>
          <w:p w:rsidR="00253D68" w:rsidRPr="00F50EA2" w:rsidRDefault="00253D68">
            <w:pPr>
              <w:rPr>
                <w:sz w:val="24"/>
                <w:szCs w:val="24"/>
              </w:rPr>
            </w:pPr>
            <w:r>
              <w:rPr>
                <w:sz w:val="24"/>
                <w:szCs w:val="24"/>
              </w:rPr>
              <w:t>32,5</w:t>
            </w:r>
          </w:p>
        </w:tc>
      </w:tr>
      <w:tr w:rsidR="00253D68" w:rsidTr="008E69DE">
        <w:tc>
          <w:tcPr>
            <w:tcW w:w="8755" w:type="dxa"/>
          </w:tcPr>
          <w:p w:rsidR="00253D68" w:rsidRDefault="00253D68"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факт2011г., кВт/</w:t>
            </w:r>
            <w:proofErr w:type="gramStart"/>
            <w:r>
              <w:rPr>
                <w:rFonts w:eastAsia="Times New Roman"/>
                <w:color w:val="333333"/>
                <w:sz w:val="24"/>
                <w:szCs w:val="24"/>
                <w:lang w:eastAsia="ru-RU"/>
              </w:rPr>
              <w:t>ч</w:t>
            </w:r>
            <w:proofErr w:type="gramEnd"/>
          </w:p>
        </w:tc>
        <w:tc>
          <w:tcPr>
            <w:tcW w:w="1808" w:type="dxa"/>
          </w:tcPr>
          <w:p w:rsidR="00253D68" w:rsidRPr="00F50EA2" w:rsidRDefault="00253D68">
            <w:pPr>
              <w:rPr>
                <w:sz w:val="24"/>
                <w:szCs w:val="24"/>
              </w:rPr>
            </w:pPr>
            <w:r>
              <w:rPr>
                <w:sz w:val="24"/>
                <w:szCs w:val="24"/>
              </w:rPr>
              <w:t>31,4</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об используемом топливе на электрических станциях с указанием поставщиков и характеристик топлива.</w:t>
            </w:r>
          </w:p>
        </w:tc>
        <w:tc>
          <w:tcPr>
            <w:tcW w:w="1808" w:type="dxa"/>
          </w:tcPr>
          <w:p w:rsidR="00EC2F3E" w:rsidRPr="00F50EA2" w:rsidRDefault="00253D68">
            <w:pPr>
              <w:rPr>
                <w:sz w:val="24"/>
                <w:szCs w:val="24"/>
              </w:rPr>
            </w:pPr>
            <w:r>
              <w:rPr>
                <w:sz w:val="24"/>
                <w:szCs w:val="24"/>
              </w:rPr>
              <w:t>Приложение</w:t>
            </w:r>
            <w:r w:rsidR="00444BDF">
              <w:rPr>
                <w:sz w:val="24"/>
                <w:szCs w:val="24"/>
              </w:rPr>
              <w:t xml:space="preserve"> 10</w:t>
            </w:r>
          </w:p>
        </w:tc>
      </w:tr>
      <w:tr w:rsidR="00EC2F3E" w:rsidTr="008E69DE">
        <w:tc>
          <w:tcPr>
            <w:tcW w:w="8755" w:type="dxa"/>
          </w:tcPr>
          <w:p w:rsidR="00EC2F3E" w:rsidRDefault="00E3348E" w:rsidP="00E3348E">
            <w:pPr>
              <w:rPr>
                <w:sz w:val="32"/>
                <w:szCs w:val="32"/>
              </w:rPr>
            </w:pPr>
            <w:r w:rsidRPr="00540BFB">
              <w:rPr>
                <w:rFonts w:eastAsia="Times New Roman"/>
                <w:color w:val="333333"/>
                <w:sz w:val="24"/>
                <w:szCs w:val="24"/>
                <w:lang w:eastAsia="ru-RU"/>
              </w:rPr>
              <w:t>16. Гидроэлектростанции  раскрывают информацию о режиме использования и состоянии водных ресурсов.</w:t>
            </w:r>
          </w:p>
        </w:tc>
        <w:tc>
          <w:tcPr>
            <w:tcW w:w="1808" w:type="dxa"/>
          </w:tcPr>
          <w:p w:rsidR="00EC2F3E" w:rsidRPr="00F50EA2" w:rsidRDefault="001D5CC3">
            <w:pPr>
              <w:rPr>
                <w:sz w:val="24"/>
                <w:szCs w:val="24"/>
              </w:rPr>
            </w:pPr>
            <w:r>
              <w:rPr>
                <w:sz w:val="24"/>
                <w:szCs w:val="24"/>
              </w:rPr>
              <w:t>нет</w:t>
            </w:r>
          </w:p>
        </w:tc>
      </w:tr>
      <w:tr w:rsidR="00EC2F3E" w:rsidTr="008E69DE">
        <w:tc>
          <w:tcPr>
            <w:tcW w:w="8755" w:type="dxa"/>
          </w:tcPr>
          <w:p w:rsidR="00EC2F3E" w:rsidRDefault="00E3348E" w:rsidP="000A601F">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3348E" w:rsidRPr="00540BFB"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18. </w:t>
            </w:r>
            <w:r w:rsidRPr="00540BFB">
              <w:rPr>
                <w:rFonts w:eastAsia="Times New Roman"/>
                <w:color w:val="333333"/>
                <w:sz w:val="24"/>
                <w:szCs w:val="24"/>
                <w:lang w:eastAsia="ru-RU"/>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EC2F3E" w:rsidRDefault="00E3348E"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tc>
        <w:tc>
          <w:tcPr>
            <w:tcW w:w="1808" w:type="dxa"/>
          </w:tcPr>
          <w:p w:rsidR="00EC2F3E" w:rsidRPr="00F50EA2" w:rsidRDefault="00304DC1">
            <w:pPr>
              <w:rPr>
                <w:sz w:val="24"/>
                <w:szCs w:val="24"/>
              </w:rPr>
            </w:pPr>
            <w:r>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графике совокупного спроса и предложения (по ценовым зонам и (или) по всему рынку) по итогам отбора ценовых заявок за текущие торговые сутки;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плановом объеме производства электрической энергии по итогам отбора ценовых заявок за текущие торговые сутки (в соответствии со структурой </w:t>
            </w:r>
            <w:r w:rsidRPr="00540BFB">
              <w:rPr>
                <w:rFonts w:eastAsia="Times New Roman"/>
                <w:color w:val="333333"/>
                <w:sz w:val="24"/>
                <w:szCs w:val="24"/>
                <w:lang w:eastAsia="ru-RU"/>
              </w:rPr>
              <w:lastRenderedPageBreak/>
              <w:t>генерации);</w:t>
            </w:r>
          </w:p>
        </w:tc>
        <w:tc>
          <w:tcPr>
            <w:tcW w:w="1808" w:type="dxa"/>
          </w:tcPr>
          <w:p w:rsidR="00304DC1" w:rsidRDefault="00304DC1">
            <w:r w:rsidRPr="00875756">
              <w:rPr>
                <w:sz w:val="24"/>
                <w:szCs w:val="24"/>
              </w:rPr>
              <w:lastRenderedPageBreak/>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о плановых значениях </w:t>
            </w:r>
            <w:proofErr w:type="spellStart"/>
            <w:r w:rsidRPr="00540BFB">
              <w:rPr>
                <w:rFonts w:eastAsia="Times New Roman"/>
                <w:color w:val="333333"/>
                <w:sz w:val="24"/>
                <w:szCs w:val="24"/>
                <w:lang w:eastAsia="ru-RU"/>
              </w:rPr>
              <w:t>перетоков</w:t>
            </w:r>
            <w:proofErr w:type="spellEnd"/>
            <w:r w:rsidRPr="00540BFB">
              <w:rPr>
                <w:rFonts w:eastAsia="Times New Roman"/>
                <w:color w:val="333333"/>
                <w:sz w:val="24"/>
                <w:szCs w:val="24"/>
                <w:lang w:eastAsia="ru-RU"/>
              </w:rPr>
              <w:t xml:space="preserve"> электрической энергии по контролируемым сечениям, в том числе по сечениям экспортно-импортных операций и </w:t>
            </w:r>
            <w:proofErr w:type="spellStart"/>
            <w:r w:rsidRPr="00540BFB">
              <w:rPr>
                <w:rFonts w:eastAsia="Times New Roman"/>
                <w:color w:val="333333"/>
                <w:sz w:val="24"/>
                <w:szCs w:val="24"/>
                <w:lang w:eastAsia="ru-RU"/>
              </w:rPr>
              <w:t>перетокам</w:t>
            </w:r>
            <w:proofErr w:type="spellEnd"/>
            <w:r w:rsidRPr="00540BFB">
              <w:rPr>
                <w:rFonts w:eastAsia="Times New Roman"/>
                <w:color w:val="333333"/>
                <w:sz w:val="24"/>
                <w:szCs w:val="24"/>
                <w:lang w:eastAsia="ru-RU"/>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зонах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540BFB">
              <w:rPr>
                <w:rFonts w:eastAsia="Times New Roman"/>
                <w:color w:val="333333"/>
                <w:sz w:val="24"/>
                <w:szCs w:val="24"/>
                <w:lang w:eastAsia="ru-RU"/>
              </w:rPr>
              <w:t>агрегированно</w:t>
            </w:r>
            <w:proofErr w:type="spellEnd"/>
            <w:r w:rsidRPr="00540BFB">
              <w:rPr>
                <w:rFonts w:eastAsia="Times New Roman"/>
                <w:color w:val="333333"/>
                <w:sz w:val="24"/>
                <w:szCs w:val="24"/>
                <w:lang w:eastAsia="ru-RU"/>
              </w:rPr>
              <w:t xml:space="preserve"> по субъектам Российской Федерации);</w:t>
            </w:r>
          </w:p>
        </w:tc>
        <w:tc>
          <w:tcPr>
            <w:tcW w:w="1808" w:type="dxa"/>
          </w:tcPr>
          <w:p w:rsidR="00304DC1" w:rsidRDefault="00304DC1">
            <w:r w:rsidRPr="00875756">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б) основные условия договора купли-продажи электрической энергии, в том числе:</w:t>
            </w:r>
            <w:r>
              <w:rPr>
                <w:rFonts w:eastAsia="Times New Roman"/>
                <w:color w:val="333333"/>
                <w:sz w:val="24"/>
                <w:szCs w:val="24"/>
                <w:lang w:eastAsia="ru-RU"/>
              </w:rPr>
              <w:t xml:space="preserve"> </w:t>
            </w:r>
            <w:r w:rsidRPr="00540BFB">
              <w:rPr>
                <w:rFonts w:eastAsia="Times New Roman"/>
                <w:color w:val="333333"/>
                <w:sz w:val="24"/>
                <w:szCs w:val="24"/>
                <w:lang w:eastAsia="ru-RU"/>
              </w:rPr>
              <w:t>срок действия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вид цены на электрическую энергию (фиксированная или переменная);</w:t>
            </w:r>
            <w:r>
              <w:rPr>
                <w:rFonts w:eastAsia="Times New Roman"/>
                <w:color w:val="333333"/>
                <w:sz w:val="24"/>
                <w:szCs w:val="24"/>
                <w:lang w:eastAsia="ru-RU"/>
              </w:rPr>
              <w:t xml:space="preserve"> </w:t>
            </w:r>
            <w:r w:rsidRPr="00540BFB">
              <w:rPr>
                <w:rFonts w:eastAsia="Times New Roman"/>
                <w:color w:val="333333"/>
                <w:sz w:val="24"/>
                <w:szCs w:val="24"/>
                <w:lang w:eastAsia="ru-RU"/>
              </w:rPr>
              <w:t>форму оплаты;</w:t>
            </w:r>
            <w:r>
              <w:rPr>
                <w:rFonts w:eastAsia="Times New Roman"/>
                <w:color w:val="333333"/>
                <w:sz w:val="24"/>
                <w:szCs w:val="24"/>
                <w:lang w:eastAsia="ru-RU"/>
              </w:rPr>
              <w:t xml:space="preserve"> </w:t>
            </w:r>
            <w:r w:rsidRPr="00540BFB">
              <w:rPr>
                <w:rFonts w:eastAsia="Times New Roman"/>
                <w:color w:val="333333"/>
                <w:sz w:val="24"/>
                <w:szCs w:val="24"/>
                <w:lang w:eastAsia="ru-RU"/>
              </w:rPr>
              <w:t>формы обеспечения исполнения обязатель</w:t>
            </w:r>
            <w:proofErr w:type="gramStart"/>
            <w:r w:rsidRPr="00540BFB">
              <w:rPr>
                <w:rFonts w:eastAsia="Times New Roman"/>
                <w:color w:val="333333"/>
                <w:sz w:val="24"/>
                <w:szCs w:val="24"/>
                <w:lang w:eastAsia="ru-RU"/>
              </w:rPr>
              <w:t>ств ст</w:t>
            </w:r>
            <w:proofErr w:type="gramEnd"/>
            <w:r w:rsidRPr="00540BFB">
              <w:rPr>
                <w:rFonts w:eastAsia="Times New Roman"/>
                <w:color w:val="333333"/>
                <w:sz w:val="24"/>
                <w:szCs w:val="24"/>
                <w:lang w:eastAsia="ru-RU"/>
              </w:rPr>
              <w:t>орон по договору;</w:t>
            </w:r>
            <w:r>
              <w:rPr>
                <w:rFonts w:eastAsia="Times New Roman"/>
                <w:color w:val="333333"/>
                <w:sz w:val="24"/>
                <w:szCs w:val="24"/>
                <w:lang w:eastAsia="ru-RU"/>
              </w:rPr>
              <w:t xml:space="preserve"> </w:t>
            </w:r>
            <w:r w:rsidRPr="00540BFB">
              <w:rPr>
                <w:rFonts w:eastAsia="Times New Roman"/>
                <w:color w:val="333333"/>
                <w:sz w:val="24"/>
                <w:szCs w:val="24"/>
                <w:lang w:eastAsia="ru-RU"/>
              </w:rPr>
              <w:t>зону обслуживания;</w:t>
            </w:r>
            <w:r>
              <w:rPr>
                <w:rFonts w:eastAsia="Times New Roman"/>
                <w:color w:val="333333"/>
                <w:sz w:val="24"/>
                <w:szCs w:val="24"/>
                <w:lang w:eastAsia="ru-RU"/>
              </w:rPr>
              <w:t xml:space="preserve"> </w:t>
            </w:r>
            <w:r w:rsidRPr="00540BFB">
              <w:rPr>
                <w:rFonts w:eastAsia="Times New Roman"/>
                <w:color w:val="333333"/>
                <w:sz w:val="24"/>
                <w:szCs w:val="24"/>
                <w:lang w:eastAsia="ru-RU"/>
              </w:rPr>
              <w:t>условия расторжения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ответственность сторон;</w:t>
            </w:r>
            <w:r>
              <w:rPr>
                <w:rFonts w:eastAsia="Times New Roman"/>
                <w:color w:val="333333"/>
                <w:sz w:val="24"/>
                <w:szCs w:val="24"/>
                <w:lang w:eastAsia="ru-RU"/>
              </w:rPr>
              <w:t xml:space="preserve"> </w:t>
            </w:r>
            <w:r w:rsidRPr="00540BFB">
              <w:rPr>
                <w:rFonts w:eastAsia="Times New Roman"/>
                <w:color w:val="333333"/>
                <w:sz w:val="24"/>
                <w:szCs w:val="24"/>
                <w:lang w:eastAsia="ru-RU"/>
              </w:rPr>
              <w:t>иную информацию, являющуюся существенной для потребителей;</w:t>
            </w:r>
          </w:p>
        </w:tc>
        <w:tc>
          <w:tcPr>
            <w:tcW w:w="1808" w:type="dxa"/>
          </w:tcPr>
          <w:p w:rsidR="00EC2F3E" w:rsidRDefault="00304DC1">
            <w:pPr>
              <w:rPr>
                <w:sz w:val="24"/>
                <w:szCs w:val="24"/>
              </w:rPr>
            </w:pPr>
            <w:r>
              <w:rPr>
                <w:sz w:val="24"/>
                <w:szCs w:val="24"/>
              </w:rPr>
              <w:t>Приложение</w:t>
            </w:r>
            <w:r w:rsidR="005B04DF">
              <w:rPr>
                <w:sz w:val="24"/>
                <w:szCs w:val="24"/>
              </w:rPr>
              <w:t xml:space="preserve"> договор</w:t>
            </w:r>
          </w:p>
          <w:p w:rsidR="005B04DF" w:rsidRPr="00F50EA2" w:rsidRDefault="005B04DF">
            <w:pPr>
              <w:rPr>
                <w:sz w:val="24"/>
                <w:szCs w:val="24"/>
              </w:rPr>
            </w:pPr>
          </w:p>
        </w:tc>
      </w:tr>
      <w:tr w:rsidR="00EC2F3E" w:rsidTr="008E69DE">
        <w:tc>
          <w:tcPr>
            <w:tcW w:w="8755" w:type="dxa"/>
          </w:tcPr>
          <w:p w:rsidR="009270E6" w:rsidRPr="00540BFB" w:rsidRDefault="009270E6" w:rsidP="00A36D8B">
            <w:pPr>
              <w:shd w:val="clear" w:color="auto" w:fill="FFFFFF"/>
              <w:jc w:val="both"/>
              <w:rPr>
                <w:rFonts w:eastAsia="Times New Roman"/>
                <w:color w:val="333333"/>
                <w:sz w:val="24"/>
                <w:szCs w:val="24"/>
                <w:lang w:eastAsia="ru-RU"/>
              </w:rPr>
            </w:pPr>
            <w:r>
              <w:rPr>
                <w:rFonts w:eastAsia="Times New Roman"/>
                <w:color w:val="333333"/>
                <w:sz w:val="24"/>
                <w:szCs w:val="24"/>
                <w:lang w:eastAsia="ru-RU"/>
              </w:rPr>
              <w:t xml:space="preserve">20. </w:t>
            </w:r>
            <w:r w:rsidRPr="00540BFB">
              <w:rPr>
                <w:rFonts w:eastAsia="Times New Roman"/>
                <w:color w:val="333333"/>
                <w:sz w:val="24"/>
                <w:szCs w:val="24"/>
                <w:lang w:eastAsia="ru-RU"/>
              </w:rPr>
              <w:t xml:space="preserve">в) информацию о деятельности </w:t>
            </w:r>
            <w:proofErr w:type="spellStart"/>
            <w:r w:rsidRPr="00540BFB">
              <w:rPr>
                <w:rFonts w:eastAsia="Times New Roman"/>
                <w:color w:val="333333"/>
                <w:sz w:val="24"/>
                <w:szCs w:val="24"/>
                <w:lang w:eastAsia="ru-RU"/>
              </w:rPr>
              <w:t>энергоснабжающей</w:t>
            </w:r>
            <w:proofErr w:type="spellEnd"/>
            <w:r w:rsidRPr="00540BFB">
              <w:rPr>
                <w:rFonts w:eastAsia="Times New Roman"/>
                <w:color w:val="333333"/>
                <w:sz w:val="24"/>
                <w:szCs w:val="24"/>
                <w:lang w:eastAsia="ru-RU"/>
              </w:rPr>
              <w:t xml:space="preserve">, </w:t>
            </w:r>
            <w:proofErr w:type="spellStart"/>
            <w:r w:rsidRPr="00540BFB">
              <w:rPr>
                <w:rFonts w:eastAsia="Times New Roman"/>
                <w:color w:val="333333"/>
                <w:sz w:val="24"/>
                <w:szCs w:val="24"/>
                <w:lang w:eastAsia="ru-RU"/>
              </w:rPr>
              <w:t>энергосбытовой</w:t>
            </w:r>
            <w:proofErr w:type="spellEnd"/>
            <w:r w:rsidRPr="00540BFB">
              <w:rPr>
                <w:rFonts w:eastAsia="Times New Roman"/>
                <w:color w:val="333333"/>
                <w:sz w:val="24"/>
                <w:szCs w:val="24"/>
                <w:lang w:eastAsia="ru-RU"/>
              </w:rPr>
              <w:t xml:space="preserve"> организации и гарантирующего поставщика, в том числе:</w:t>
            </w:r>
          </w:p>
          <w:p w:rsidR="00DD57C5" w:rsidRDefault="009270E6" w:rsidP="00DD57C5">
            <w:pPr>
              <w:shd w:val="clear" w:color="auto" w:fill="FFFFFF"/>
              <w:ind w:firstLine="540"/>
              <w:jc w:val="both"/>
              <w:rPr>
                <w:rFonts w:eastAsia="Times New Roman"/>
                <w:color w:val="333333"/>
                <w:sz w:val="24"/>
                <w:szCs w:val="24"/>
                <w:lang w:eastAsia="ru-RU"/>
              </w:rPr>
            </w:pPr>
            <w:r w:rsidRPr="00540BFB">
              <w:rPr>
                <w:rFonts w:eastAsia="Times New Roman"/>
                <w:color w:val="333333"/>
                <w:sz w:val="24"/>
                <w:szCs w:val="24"/>
                <w:lang w:eastAsia="ru-RU"/>
              </w:rPr>
              <w:t xml:space="preserve">информацию о гарантирующем поставщике, включая зону его обслуживания, место нахождения, </w:t>
            </w:r>
          </w:p>
          <w:p w:rsidR="00DD57C5" w:rsidRDefault="00DD57C5" w:rsidP="00DD57C5">
            <w:pPr>
              <w:shd w:val="clear" w:color="auto" w:fill="FFFFFF"/>
              <w:ind w:firstLine="540"/>
              <w:jc w:val="both"/>
              <w:rPr>
                <w:sz w:val="32"/>
                <w:szCs w:val="32"/>
              </w:rPr>
            </w:pPr>
            <w:r>
              <w:rPr>
                <w:rFonts w:eastAsia="Times New Roman"/>
                <w:color w:val="333333"/>
                <w:sz w:val="24"/>
                <w:szCs w:val="24"/>
                <w:lang w:eastAsia="ru-RU"/>
              </w:rPr>
              <w:t>184713 с</w:t>
            </w:r>
            <w:proofErr w:type="gramStart"/>
            <w:r>
              <w:rPr>
                <w:rFonts w:eastAsia="Times New Roman"/>
                <w:color w:val="333333"/>
                <w:sz w:val="24"/>
                <w:szCs w:val="24"/>
                <w:lang w:eastAsia="ru-RU"/>
              </w:rPr>
              <w:t>.К</w:t>
            </w:r>
            <w:proofErr w:type="gramEnd"/>
            <w:r>
              <w:rPr>
                <w:rFonts w:eastAsia="Times New Roman"/>
                <w:color w:val="333333"/>
                <w:sz w:val="24"/>
                <w:szCs w:val="24"/>
                <w:lang w:eastAsia="ru-RU"/>
              </w:rPr>
              <w:t xml:space="preserve">узомень, 184711с.Кашкаранцы Мурманской области Терского р-на </w:t>
            </w:r>
          </w:p>
        </w:tc>
        <w:tc>
          <w:tcPr>
            <w:tcW w:w="1808" w:type="dxa"/>
          </w:tcPr>
          <w:p w:rsidR="00EC2F3E" w:rsidRPr="00F50EA2" w:rsidRDefault="00EC2F3E">
            <w:pPr>
              <w:rPr>
                <w:sz w:val="24"/>
                <w:szCs w:val="24"/>
              </w:rPr>
            </w:pP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tc>
        <w:tc>
          <w:tcPr>
            <w:tcW w:w="1808" w:type="dxa"/>
          </w:tcPr>
          <w:p w:rsidR="00EC2F3E" w:rsidRPr="00F50EA2" w:rsidRDefault="00975D57">
            <w:pPr>
              <w:rPr>
                <w:sz w:val="24"/>
                <w:szCs w:val="24"/>
              </w:rPr>
            </w:pPr>
            <w:r>
              <w:rPr>
                <w:sz w:val="24"/>
                <w:szCs w:val="24"/>
              </w:rPr>
              <w:t>Приложение 6,7</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lastRenderedPageBreak/>
              <w:t xml:space="preserve">20. </w:t>
            </w:r>
            <w:r w:rsidRPr="00540BFB">
              <w:rPr>
                <w:rFonts w:eastAsia="Times New Roman"/>
                <w:color w:val="333333"/>
                <w:sz w:val="24"/>
                <w:szCs w:val="24"/>
                <w:lang w:eastAsia="ru-RU"/>
              </w:rPr>
              <w:t>е) информацию о ежемесячных фактических объемах потребления электрической энергии (мощности) по группам потребителей;</w:t>
            </w:r>
          </w:p>
        </w:tc>
        <w:tc>
          <w:tcPr>
            <w:tcW w:w="1808" w:type="dxa"/>
          </w:tcPr>
          <w:p w:rsidR="00EC2F3E" w:rsidRDefault="008E69DE">
            <w:pPr>
              <w:rPr>
                <w:sz w:val="24"/>
                <w:szCs w:val="24"/>
              </w:rPr>
            </w:pPr>
            <w:r>
              <w:rPr>
                <w:sz w:val="24"/>
                <w:szCs w:val="24"/>
              </w:rPr>
              <w:t>Приложение</w:t>
            </w:r>
          </w:p>
          <w:p w:rsidR="008E69DE" w:rsidRPr="00F50EA2" w:rsidRDefault="008E69DE">
            <w:pPr>
              <w:rPr>
                <w:sz w:val="24"/>
                <w:szCs w:val="24"/>
              </w:rPr>
            </w:pPr>
            <w:proofErr w:type="spellStart"/>
            <w:r>
              <w:rPr>
                <w:sz w:val="24"/>
                <w:szCs w:val="24"/>
              </w:rPr>
              <w:t>Факт</w:t>
            </w:r>
            <w:proofErr w:type="gramStart"/>
            <w:r>
              <w:rPr>
                <w:sz w:val="24"/>
                <w:szCs w:val="24"/>
              </w:rPr>
              <w:t>.п</w:t>
            </w:r>
            <w:proofErr w:type="gramEnd"/>
            <w:r>
              <w:rPr>
                <w:sz w:val="24"/>
                <w:szCs w:val="24"/>
              </w:rPr>
              <w:t>отребл</w:t>
            </w:r>
            <w:proofErr w:type="spellEnd"/>
            <w:r>
              <w:rPr>
                <w:sz w:val="24"/>
                <w:szCs w:val="24"/>
              </w:rPr>
              <w:t>.</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ж) информацию об инвестиционной программе;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540BFB">
              <w:rPr>
                <w:rFonts w:eastAsia="Times New Roman"/>
                <w:color w:val="333333"/>
                <w:sz w:val="24"/>
                <w:szCs w:val="24"/>
                <w:lang w:eastAsia="ru-RU"/>
              </w:rPr>
              <w:t>одноставочным</w:t>
            </w:r>
            <w:proofErr w:type="spellEnd"/>
            <w:r w:rsidRPr="00540BFB">
              <w:rPr>
                <w:rFonts w:eastAsia="Times New Roman"/>
                <w:color w:val="333333"/>
                <w:sz w:val="24"/>
                <w:szCs w:val="24"/>
                <w:lang w:eastAsia="ru-RU"/>
              </w:rPr>
              <w:t xml:space="preserve"> тарифам.</w:t>
            </w:r>
          </w:p>
        </w:tc>
        <w:tc>
          <w:tcPr>
            <w:tcW w:w="1808" w:type="dxa"/>
          </w:tcPr>
          <w:p w:rsidR="00EC2F3E" w:rsidRPr="00F50EA2" w:rsidRDefault="008E69DE">
            <w:pPr>
              <w:rPr>
                <w:sz w:val="24"/>
                <w:szCs w:val="24"/>
              </w:rPr>
            </w:pPr>
            <w:r>
              <w:rPr>
                <w:sz w:val="24"/>
                <w:szCs w:val="24"/>
              </w:rPr>
              <w:t>Приложение 7</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размер регулируемой сбытовой надбавки с указанием решения уполномоченного регулирующего органа об установлении тарифа (</w:t>
            </w:r>
            <w:r>
              <w:rPr>
                <w:rFonts w:eastAsia="Times New Roman"/>
                <w:color w:val="333333"/>
                <w:sz w:val="24"/>
                <w:szCs w:val="24"/>
                <w:lang w:eastAsia="ru-RU"/>
              </w:rPr>
              <w:t>публикуется</w:t>
            </w:r>
            <w:r w:rsidRPr="00540BFB">
              <w:rPr>
                <w:rFonts w:eastAsia="Times New Roman"/>
                <w:color w:val="333333"/>
                <w:sz w:val="24"/>
                <w:szCs w:val="24"/>
                <w:lang w:eastAsia="ru-RU"/>
              </w:rPr>
              <w:t xml:space="preserve"> не реже одного раза в год);</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объем электрической энергии, покупаемой на оптовом рынке, в том числе в секторе свободной торговли и регулируемом секторе, по двусторонним договорам купли-продажи (информация раскрывается ежемесячно).</w:t>
            </w:r>
          </w:p>
        </w:tc>
        <w:tc>
          <w:tcPr>
            <w:tcW w:w="1808" w:type="dxa"/>
          </w:tcPr>
          <w:p w:rsidR="00EC2F3E" w:rsidRPr="00F50EA2" w:rsidRDefault="008E69DE">
            <w:pPr>
              <w:rPr>
                <w:sz w:val="24"/>
                <w:szCs w:val="24"/>
              </w:rPr>
            </w:pPr>
            <w:r>
              <w:rPr>
                <w:sz w:val="24"/>
                <w:szCs w:val="24"/>
              </w:rPr>
              <w:t>нет</w:t>
            </w:r>
          </w:p>
        </w:tc>
      </w:tr>
    </w:tbl>
    <w:p w:rsidR="00540BFB" w:rsidRPr="00540BFB" w:rsidRDefault="00540BFB" w:rsidP="00540BFB">
      <w:pPr>
        <w:shd w:val="clear" w:color="auto" w:fill="FFFFFF"/>
        <w:spacing w:before="120" w:after="0" w:line="240" w:lineRule="auto"/>
        <w:rPr>
          <w:rFonts w:eastAsia="Times New Roman"/>
          <w:color w:val="333333"/>
          <w:sz w:val="24"/>
          <w:szCs w:val="24"/>
          <w:lang w:eastAsia="ru-RU"/>
        </w:rPr>
      </w:pPr>
      <w:r w:rsidRPr="00540BFB">
        <w:rPr>
          <w:rFonts w:eastAsia="Times New Roman"/>
          <w:color w:val="333333"/>
          <w:sz w:val="24"/>
          <w:szCs w:val="24"/>
          <w:lang w:eastAsia="ru-RU"/>
        </w:rPr>
        <w:t> </w:t>
      </w:r>
    </w:p>
    <w:sectPr w:rsidR="00540BFB" w:rsidRPr="00540BFB" w:rsidSect="00B9045C">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13174"/>
    <w:rsid w:val="000A601F"/>
    <w:rsid w:val="001974C2"/>
    <w:rsid w:val="001D5CC3"/>
    <w:rsid w:val="00253D68"/>
    <w:rsid w:val="002B1F8B"/>
    <w:rsid w:val="003029A1"/>
    <w:rsid w:val="00304DC1"/>
    <w:rsid w:val="003F0233"/>
    <w:rsid w:val="00444BDF"/>
    <w:rsid w:val="004A42C6"/>
    <w:rsid w:val="00513174"/>
    <w:rsid w:val="00540BFB"/>
    <w:rsid w:val="0059002F"/>
    <w:rsid w:val="005B04DF"/>
    <w:rsid w:val="00690C2F"/>
    <w:rsid w:val="007151D8"/>
    <w:rsid w:val="007567C8"/>
    <w:rsid w:val="0078744B"/>
    <w:rsid w:val="007D21B0"/>
    <w:rsid w:val="00840321"/>
    <w:rsid w:val="00895CBE"/>
    <w:rsid w:val="008E69DE"/>
    <w:rsid w:val="009270E6"/>
    <w:rsid w:val="009374E2"/>
    <w:rsid w:val="00975D57"/>
    <w:rsid w:val="00992BD5"/>
    <w:rsid w:val="009F0FC5"/>
    <w:rsid w:val="009F75C9"/>
    <w:rsid w:val="00A224B2"/>
    <w:rsid w:val="00A275E7"/>
    <w:rsid w:val="00A35121"/>
    <w:rsid w:val="00A36D8B"/>
    <w:rsid w:val="00A37860"/>
    <w:rsid w:val="00A665B3"/>
    <w:rsid w:val="00AC37FD"/>
    <w:rsid w:val="00B24E19"/>
    <w:rsid w:val="00B72286"/>
    <w:rsid w:val="00B8633A"/>
    <w:rsid w:val="00B9045C"/>
    <w:rsid w:val="00BD4A14"/>
    <w:rsid w:val="00BE0D38"/>
    <w:rsid w:val="00C449CF"/>
    <w:rsid w:val="00C502A0"/>
    <w:rsid w:val="00C55966"/>
    <w:rsid w:val="00CF6594"/>
    <w:rsid w:val="00DC3CD4"/>
    <w:rsid w:val="00DD57C5"/>
    <w:rsid w:val="00E3348E"/>
    <w:rsid w:val="00E417B9"/>
    <w:rsid w:val="00EA118A"/>
    <w:rsid w:val="00EC2F3E"/>
    <w:rsid w:val="00F22567"/>
    <w:rsid w:val="00F4132F"/>
    <w:rsid w:val="00F441ED"/>
    <w:rsid w:val="00F50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93666">
      <w:bodyDiv w:val="1"/>
      <w:marLeft w:val="0"/>
      <w:marRight w:val="0"/>
      <w:marTop w:val="0"/>
      <w:marBottom w:val="180"/>
      <w:divBdr>
        <w:top w:val="none" w:sz="0" w:space="0" w:color="auto"/>
        <w:left w:val="none" w:sz="0" w:space="0" w:color="auto"/>
        <w:bottom w:val="none" w:sz="0" w:space="0" w:color="auto"/>
        <w:right w:val="none" w:sz="0" w:space="0" w:color="auto"/>
      </w:divBdr>
      <w:divsChild>
        <w:div w:id="407503739">
          <w:marLeft w:val="600"/>
          <w:marRight w:val="0"/>
          <w:marTop w:val="0"/>
          <w:marBottom w:val="0"/>
          <w:divBdr>
            <w:top w:val="none" w:sz="0" w:space="0" w:color="auto"/>
            <w:left w:val="none" w:sz="0" w:space="0" w:color="auto"/>
            <w:bottom w:val="none" w:sz="0" w:space="0" w:color="auto"/>
            <w:right w:val="none" w:sz="0" w:space="0" w:color="auto"/>
          </w:divBdr>
          <w:divsChild>
            <w:div w:id="720059373">
              <w:marLeft w:val="0"/>
              <w:marRight w:val="-100"/>
              <w:marTop w:val="0"/>
              <w:marBottom w:val="0"/>
              <w:divBdr>
                <w:top w:val="none" w:sz="0" w:space="0" w:color="auto"/>
                <w:left w:val="none" w:sz="0" w:space="0" w:color="auto"/>
                <w:bottom w:val="none" w:sz="0" w:space="0" w:color="auto"/>
                <w:right w:val="none" w:sz="0" w:space="0" w:color="auto"/>
              </w:divBdr>
              <w:divsChild>
                <w:div w:id="729496831">
                  <w:marLeft w:val="0"/>
                  <w:marRight w:val="0"/>
                  <w:marTop w:val="0"/>
                  <w:marBottom w:val="0"/>
                  <w:divBdr>
                    <w:top w:val="none" w:sz="0" w:space="0" w:color="auto"/>
                    <w:left w:val="none" w:sz="0" w:space="0" w:color="auto"/>
                    <w:bottom w:val="none" w:sz="0" w:space="0" w:color="auto"/>
                    <w:right w:val="none" w:sz="0" w:space="0" w:color="auto"/>
                  </w:divBdr>
                  <w:divsChild>
                    <w:div w:id="51849090">
                      <w:marLeft w:val="0"/>
                      <w:marRight w:val="0"/>
                      <w:marTop w:val="0"/>
                      <w:marBottom w:val="0"/>
                      <w:divBdr>
                        <w:top w:val="single" w:sz="36" w:space="5" w:color="E7F9FB"/>
                        <w:left w:val="single" w:sz="36" w:space="5" w:color="E7F9FB"/>
                        <w:bottom w:val="single" w:sz="36" w:space="5" w:color="E7F9FB"/>
                        <w:right w:val="single" w:sz="36" w:space="5" w:color="E7F9FB"/>
                      </w:divBdr>
                      <w:divsChild>
                        <w:div w:id="2129662187">
                          <w:marLeft w:val="0"/>
                          <w:marRight w:val="0"/>
                          <w:marTop w:val="0"/>
                          <w:marBottom w:val="0"/>
                          <w:divBdr>
                            <w:top w:val="none" w:sz="0" w:space="0" w:color="auto"/>
                            <w:left w:val="none" w:sz="0" w:space="0" w:color="auto"/>
                            <w:bottom w:val="none" w:sz="0" w:space="0" w:color="auto"/>
                            <w:right w:val="none" w:sz="0" w:space="0" w:color="auto"/>
                          </w:divBdr>
                          <w:divsChild>
                            <w:div w:id="529034124">
                              <w:marLeft w:val="0"/>
                              <w:marRight w:val="0"/>
                              <w:marTop w:val="0"/>
                              <w:marBottom w:val="0"/>
                              <w:divBdr>
                                <w:top w:val="none" w:sz="0" w:space="0" w:color="auto"/>
                                <w:left w:val="none" w:sz="0" w:space="0" w:color="auto"/>
                                <w:bottom w:val="none" w:sz="0" w:space="0" w:color="auto"/>
                                <w:right w:val="none" w:sz="0" w:space="0" w:color="auto"/>
                              </w:divBdr>
                              <w:divsChild>
                                <w:div w:id="9261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C1F4-EAD3-429F-ADF6-94238F80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10</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Admin</cp:lastModifiedBy>
  <cp:revision>25</cp:revision>
  <dcterms:created xsi:type="dcterms:W3CDTF">2012-02-13T12:30:00Z</dcterms:created>
  <dcterms:modified xsi:type="dcterms:W3CDTF">2012-02-17T08:29:00Z</dcterms:modified>
</cp:coreProperties>
</file>