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B7D4" w14:textId="77777777"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14:paraId="5064295E" w14:textId="77777777"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14:paraId="2D93D48A" w14:textId="77777777"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14:paraId="40E4A53E" w14:textId="77777777"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14:paraId="1B4D805C" w14:textId="1EA422DA"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который лояльно относится к </w:t>
      </w:r>
      <w:r w:rsidRPr="00B073D3">
        <w:rPr>
          <w:rFonts w:ascii="Times New Roman" w:hAnsi="Times New Roman" w:cs="Times New Roman"/>
          <w:sz w:val="28"/>
          <w:szCs w:val="28"/>
        </w:rPr>
        <w:lastRenderedPageBreak/>
        <w:t>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14:paraId="0742152E" w14:textId="0857D348"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FC5F90" w14:textId="53EAD162"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E8896" w14:textId="21E5518B"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06822B67" w14:textId="241518F7"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14:paraId="4AC7C797" w14:textId="77777777"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14:paraId="6D40B608" w14:textId="0EF27013"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14:paraId="66944A5D" w14:textId="77777777"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 xml:space="preserve">закон минимизирует риски мошенничества и защищает собственников объектов недвижимости, с другой – учитывает </w:t>
      </w:r>
      <w:proofErr w:type="gramStart"/>
      <w:r w:rsidRPr="00B073D3">
        <w:rPr>
          <w:color w:val="000000"/>
          <w:sz w:val="28"/>
          <w:szCs w:val="28"/>
        </w:rPr>
        <w:t>уже существующи</w:t>
      </w:r>
      <w:r w:rsidR="00D47946">
        <w:rPr>
          <w:color w:val="000000"/>
          <w:sz w:val="28"/>
          <w:szCs w:val="28"/>
        </w:rPr>
        <w:t>е</w:t>
      </w:r>
      <w:proofErr w:type="gramEnd"/>
      <w:r w:rsidR="00D47946">
        <w:rPr>
          <w:color w:val="000000"/>
          <w:sz w:val="28"/>
          <w:szCs w:val="28"/>
        </w:rPr>
        <w:t xml:space="preserve">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D92"/>
  <w15:docId w15:val="{79C361E2-1EF5-47FC-83E3-C100873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Галичева Мария Марта Андреевна</cp:lastModifiedBy>
  <cp:revision>3</cp:revision>
  <dcterms:created xsi:type="dcterms:W3CDTF">2019-11-26T18:45:00Z</dcterms:created>
  <dcterms:modified xsi:type="dcterms:W3CDTF">2019-11-26T19:03:00Z</dcterms:modified>
</cp:coreProperties>
</file>